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103" w:right="-1"/>
        <w:jc w:val="left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Приложение № 1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ind w:left="5103" w:right="-1"/>
        <w:spacing w:after="0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к Методике проведения предварительной 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ind w:left="5103" w:right="-1"/>
        <w:spacing w:after="0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и детальной оценки регулирующего воздействия действующих нормативных правовых актов и проектов нормативных правовых актов в Республике Татарстан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, 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принимаемых (издаваемых)  исполнительными органами государственной власти Республики Татарстан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ind w:firstLine="708"/>
        <w:jc w:val="both"/>
        <w:spacing w:after="0" w:line="360" w:lineRule="atLeast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jc w:val="center"/>
        <w:spacing w:after="120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УВЕДОМЛЕНИЕ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jc w:val="center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о подготовке проекта акта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numPr>
          <w:ilvl w:val="0"/>
          <w:numId w:val="1"/>
        </w:numPr>
        <w:ind w:left="0" w:firstLine="284"/>
        <w:jc w:val="both"/>
        <w:spacing w:after="0" w:line="360" w:lineRule="auto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b/>
          <w:sz w:val="26"/>
          <w:szCs w:val="26"/>
        </w:rPr>
        <w:t xml:space="preserve">Вид нормативного правового акта: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jc w:val="center"/>
        <w:spacing w:after="120"/>
        <w:rPr>
          <w:rFonts w:ascii="PT Astra Serif" w:hAnsi="PT Astra Serif" w:cs="PT Astra Serif"/>
          <w:sz w:val="26"/>
          <w:szCs w:val="26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PT Astra Serif" w:hAnsi="PT Astra Serif" w:eastAsia="PT Astra Serif" w:cs="PT Astra Serif"/>
          <w:sz w:val="26"/>
          <w:szCs w:val="26"/>
        </w:rPr>
        <w:t xml:space="preserve">Постановление Кабинета Министров Республики Татарстан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numPr>
          <w:ilvl w:val="0"/>
          <w:numId w:val="1"/>
        </w:numPr>
        <w:ind w:left="0" w:firstLine="284"/>
        <w:jc w:val="both"/>
        <w:spacing w:after="0" w:line="360" w:lineRule="auto"/>
        <w:rPr>
          <w:rFonts w:ascii="PT Astra Serif" w:hAnsi="PT Astra Serif" w:cs="PT Astra Serif"/>
          <w:b/>
          <w:sz w:val="26"/>
          <w:szCs w:val="26"/>
        </w:rPr>
      </w:pPr>
      <w:r>
        <w:rPr>
          <w:rFonts w:ascii="PT Astra Serif" w:hAnsi="PT Astra Serif" w:eastAsia="PT Astra Serif" w:cs="PT Astra Serif"/>
          <w:b/>
          <w:sz w:val="26"/>
          <w:szCs w:val="26"/>
        </w:rPr>
        <w:t xml:space="preserve">Наименование нормативного правового акта:</w:t>
      </w:r>
      <w:r>
        <w:rPr>
          <w:rFonts w:ascii="PT Astra Serif" w:hAnsi="PT Astra Serif" w:cs="PT Astra Serif"/>
          <w:b/>
          <w:sz w:val="26"/>
          <w:szCs w:val="26"/>
        </w:rPr>
      </w:r>
      <w:r>
        <w:rPr>
          <w:rFonts w:ascii="PT Astra Serif" w:hAnsi="PT Astra Serif" w:cs="PT Astra Serif"/>
          <w:b/>
          <w:sz w:val="26"/>
          <w:szCs w:val="26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9571"/>
      </w:tblGrid>
      <w:tr>
        <w:tblPrEx/>
        <w:trPr/>
        <w:tc>
          <w:tcPr>
            <w:tcW w:w="957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Постановление Кабинета Министров Республики Татарстан «О сезонных залах (зонах) обслуживания посетителей»</w:t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</w:tc>
      </w:tr>
    </w:tbl>
    <w:p>
      <w:pPr>
        <w:jc w:val="both"/>
        <w:spacing w:after="0" w:line="360" w:lineRule="auto"/>
        <w:rPr>
          <w:rFonts w:ascii="PT Astra Serif" w:hAnsi="PT Astra Serif" w:cs="PT Astra Serif"/>
          <w:b/>
          <w:sz w:val="26"/>
          <w:szCs w:val="26"/>
        </w:rPr>
      </w:pPr>
      <w:r>
        <w:rPr>
          <w:rFonts w:ascii="PT Astra Serif" w:hAnsi="PT Astra Serif" w:eastAsia="PT Astra Serif" w:cs="PT Astra Serif"/>
          <w:b/>
          <w:sz w:val="26"/>
          <w:szCs w:val="26"/>
        </w:rPr>
      </w:r>
      <w:r>
        <w:rPr>
          <w:rFonts w:ascii="PT Astra Serif" w:hAnsi="PT Astra Serif" w:cs="PT Astra Serif"/>
          <w:b/>
          <w:sz w:val="26"/>
          <w:szCs w:val="26"/>
        </w:rPr>
      </w:r>
      <w:r>
        <w:rPr>
          <w:rFonts w:ascii="PT Astra Serif" w:hAnsi="PT Astra Serif" w:cs="PT Astra Serif"/>
          <w:b/>
          <w:sz w:val="26"/>
          <w:szCs w:val="26"/>
        </w:rPr>
      </w:r>
    </w:p>
    <w:p>
      <w:pPr>
        <w:numPr>
          <w:ilvl w:val="0"/>
          <w:numId w:val="1"/>
        </w:numPr>
        <w:ind w:left="0" w:firstLine="284"/>
        <w:jc w:val="both"/>
        <w:spacing w:after="0" w:line="360" w:lineRule="auto"/>
        <w:rPr>
          <w:rFonts w:ascii="PT Astra Serif" w:hAnsi="PT Astra Serif" w:cs="PT Astra Serif"/>
          <w:b/>
          <w:sz w:val="26"/>
          <w:szCs w:val="26"/>
        </w:rPr>
      </w:pPr>
      <w:r>
        <w:rPr>
          <w:rFonts w:ascii="PT Astra Serif" w:hAnsi="PT Astra Serif" w:eastAsia="PT Astra Serif" w:cs="PT Astra Serif"/>
          <w:b/>
          <w:sz w:val="26"/>
          <w:szCs w:val="26"/>
        </w:rPr>
        <w:t xml:space="preserve">Планируемый срок вступления в силу нормативного правового акта: </w:t>
      </w:r>
      <w:r>
        <w:rPr>
          <w:rFonts w:ascii="PT Astra Serif" w:hAnsi="PT Astra Serif" w:cs="PT Astra Serif"/>
          <w:b/>
          <w:sz w:val="26"/>
          <w:szCs w:val="26"/>
        </w:rPr>
      </w:r>
      <w:r>
        <w:rPr>
          <w:rFonts w:ascii="PT Astra Serif" w:hAnsi="PT Astra Serif" w:cs="PT Astra Serif"/>
          <w:b/>
          <w:sz w:val="26"/>
          <w:szCs w:val="26"/>
        </w:rPr>
      </w:r>
    </w:p>
    <w:p>
      <w:pPr>
        <w:jc w:val="center"/>
        <w:spacing w:after="120"/>
        <w:rPr>
          <w:rFonts w:ascii="PT Astra Serif" w:hAnsi="PT Astra Serif" w:cs="PT Astra Serif"/>
          <w:sz w:val="26"/>
          <w:szCs w:val="26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PT Astra Serif" w:hAnsi="PT Astra Serif" w:eastAsia="PT Astra Serif" w:cs="PT Astra Serif"/>
          <w:sz w:val="26"/>
          <w:szCs w:val="26"/>
        </w:rPr>
        <w:t xml:space="preserve">Сентябрь 2025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numPr>
          <w:ilvl w:val="0"/>
          <w:numId w:val="1"/>
        </w:numPr>
        <w:ind w:left="0" w:firstLine="284"/>
        <w:jc w:val="both"/>
        <w:spacing w:after="0" w:line="360" w:lineRule="auto"/>
        <w:rPr>
          <w:rFonts w:ascii="PT Astra Serif" w:hAnsi="PT Astra Serif" w:cs="PT Astra Serif"/>
          <w:b/>
          <w:sz w:val="26"/>
          <w:szCs w:val="26"/>
        </w:rPr>
      </w:pPr>
      <w:r>
        <w:rPr>
          <w:rFonts w:ascii="PT Astra Serif" w:hAnsi="PT Astra Serif" w:eastAsia="PT Astra Serif" w:cs="PT Astra Serif"/>
          <w:b/>
          <w:sz w:val="26"/>
          <w:szCs w:val="26"/>
        </w:rPr>
        <w:t xml:space="preserve">Сведения о разработчике проекта нормативного правового акта:</w:t>
      </w:r>
      <w:r>
        <w:rPr>
          <w:rFonts w:ascii="PT Astra Serif" w:hAnsi="PT Astra Serif" w:cs="PT Astra Serif"/>
          <w:b/>
          <w:sz w:val="26"/>
          <w:szCs w:val="26"/>
        </w:rPr>
      </w:r>
      <w:r>
        <w:rPr>
          <w:rFonts w:ascii="PT Astra Serif" w:hAnsi="PT Astra Serif" w:cs="PT Astra Serif"/>
          <w:b/>
          <w:sz w:val="26"/>
          <w:szCs w:val="26"/>
        </w:rPr>
      </w:r>
    </w:p>
    <w:p>
      <w:pPr>
        <w:jc w:val="center"/>
        <w:spacing w:after="120"/>
        <w:rPr>
          <w:rFonts w:ascii="PT Astra Serif" w:hAnsi="PT Astra Serif" w:cs="PT Astra Serif"/>
          <w:sz w:val="26"/>
          <w:szCs w:val="26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PT Astra Serif" w:hAnsi="PT Astra Serif" w:eastAsia="PT Astra Serif" w:cs="PT Astra Serif"/>
          <w:sz w:val="26"/>
          <w:szCs w:val="26"/>
        </w:rPr>
        <w:t xml:space="preserve">Государственная инспекция Республики Татарстан по обеспечению государственного контроля за производством, оборотом и качеством этилового спирта, алкогольной продукции и защите прав потребителей (Госалкогольинспекция Республики Татарстан)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numPr>
          <w:ilvl w:val="0"/>
          <w:numId w:val="1"/>
        </w:numPr>
        <w:ind w:left="0" w:firstLine="284"/>
        <w:jc w:val="both"/>
        <w:spacing w:after="0" w:line="360" w:lineRule="auto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b/>
          <w:sz w:val="26"/>
          <w:szCs w:val="26"/>
        </w:rPr>
        <w:t xml:space="preserve">Обоснование необходимости подготовки проекта нормативного правового акта: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jc w:val="both"/>
        <w:spacing w:after="120"/>
        <w:rPr>
          <w:rFonts w:ascii="PT Astra Serif" w:hAnsi="PT Astra Serif" w:cs="PT Astra Serif"/>
          <w:sz w:val="26"/>
          <w:szCs w:val="26"/>
        </w:rPr>
        <w:pBdr>
          <w:top w:val="single" w:color="000000" w:sz="4" w:space="0"/>
          <w:left w:val="single" w:color="000000" w:sz="4" w:space="3"/>
          <w:bottom w:val="single" w:color="000000" w:sz="4" w:space="0"/>
          <w:right w:val="single" w:color="000000" w:sz="4" w:space="3"/>
        </w:pBdr>
      </w:pPr>
      <w:r>
        <w:rPr>
          <w:rFonts w:ascii="PT Astra Serif" w:hAnsi="PT Astra Serif" w:eastAsia="PT Astra Serif" w:cs="PT Astra Serif"/>
          <w:sz w:val="26"/>
          <w:szCs w:val="26"/>
        </w:rPr>
        <w:t xml:space="preserve">проект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Постановление Кабинета Министров Республики Татарстан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 подготовлен в целях реализации </w:t>
      </w:r>
      <w:r>
        <w:rPr>
          <w:rFonts w:ascii="PT Astra Serif" w:hAnsi="PT Astra Serif" w:eastAsia="PT Astra Serif" w:cs="PT Astra Serif"/>
          <w:color w:val="000000" w:themeColor="text1"/>
          <w:sz w:val="26"/>
          <w:szCs w:val="26"/>
          <w:highlight w:val="none"/>
        </w:rPr>
        <w:t xml:space="preserve">Федерального закона </w:t>
      </w:r>
      <w:r>
        <w:rPr>
          <w:rFonts w:ascii="PT Astra Serif" w:hAnsi="PT Astra Serif" w:eastAsia="PT Astra Serif" w:cs="PT Astra Serif"/>
          <w:color w:val="000000" w:themeColor="text1"/>
          <w:sz w:val="26"/>
          <w:szCs w:val="26"/>
          <w:highlight w:val="none"/>
          <w:shd w:val="clear" w:color="auto" w:fill="ffffff"/>
        </w:rPr>
        <w:t xml:space="preserve">от 29 мая 2024 г. № 102-ФЗ «О внесении изменений в Федеральный закон «О государственном регулировании производства и оборота этилового спирта, алкогольной и спиртосодержащей прод</w:t>
      </w:r>
      <w:r>
        <w:rPr>
          <w:rFonts w:ascii="PT Astra Serif" w:hAnsi="PT Astra Serif" w:eastAsia="PT Astra Serif" w:cs="PT Astra Serif"/>
          <w:color w:val="000000" w:themeColor="text1"/>
          <w:sz w:val="26"/>
          <w:szCs w:val="26"/>
          <w:highlight w:val="none"/>
          <w:shd w:val="clear" w:color="auto" w:fill="ffffff"/>
        </w:rPr>
        <w:t xml:space="preserve">укции и об ограничении потребления (распития) алкогольной продукции» и статью 2 Федерального закона "О внесении изменений в Федеральный закон «О государственном регулировании производства и оборота этилового спирта, алкогольной и спиртосодержащей продукции</w:t>
      </w:r>
      <w:r>
        <w:rPr>
          <w:rFonts w:ascii="PT Astra Serif" w:hAnsi="PT Astra Serif" w:eastAsia="PT Astra Serif" w:cs="PT Astra Serif"/>
          <w:color w:val="000000" w:themeColor="text1"/>
          <w:sz w:val="26"/>
          <w:szCs w:val="26"/>
          <w:highlight w:val="none"/>
          <w:shd w:val="clear" w:color="auto" w:fill="ffffff"/>
        </w:rPr>
        <w:t xml:space="preserve"> и об ограничении потребления (распития) алкогольной продукции»</w:t>
      </w:r>
      <w:r>
        <w:rPr>
          <w:rFonts w:ascii="PT Astra Serif" w:hAnsi="PT Astra Serif" w:eastAsia="PT Astra Serif" w:cs="PT Astra Serif"/>
          <w:color w:val="000000" w:themeColor="text1"/>
          <w:sz w:val="26"/>
          <w:szCs w:val="26"/>
          <w:highlight w:val="none"/>
        </w:rPr>
        <w:t xml:space="preserve">.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ind w:left="284" w:firstLine="0"/>
        <w:jc w:val="both"/>
        <w:spacing w:after="0" w:line="360" w:lineRule="auto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highlight w:val="none"/>
        </w:rPr>
      </w:r>
      <w:r>
        <w:rPr>
          <w:rFonts w:ascii="Times New Roman" w:hAnsi="Times New Roman"/>
          <w:b/>
          <w:sz w:val="26"/>
          <w:szCs w:val="26"/>
          <w:highlight w:val="none"/>
        </w:rPr>
      </w:r>
      <w:r>
        <w:rPr>
          <w:rFonts w:ascii="Times New Roman" w:hAnsi="Times New Roman"/>
          <w:b/>
          <w:bCs/>
          <w:sz w:val="26"/>
          <w:szCs w:val="26"/>
        </w:rPr>
      </w:r>
    </w:p>
    <w:p>
      <w:pPr>
        <w:numPr>
          <w:ilvl w:val="0"/>
          <w:numId w:val="1"/>
        </w:numPr>
        <w:ind w:left="0" w:firstLine="284"/>
        <w:jc w:val="both"/>
        <w:spacing w:after="0" w:line="36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Описание проблемы, на решение которой направлен предлагаемый способ регулирования:</w:t>
      </w:r>
      <w:r>
        <w:rPr>
          <w:rFonts w:ascii="Times New Roman" w:hAnsi="Times New Roman"/>
          <w:b/>
          <w:sz w:val="26"/>
          <w:szCs w:val="26"/>
        </w:rPr>
      </w:r>
      <w:r>
        <w:rPr>
          <w:rFonts w:ascii="Times New Roman" w:hAnsi="Times New Roman"/>
          <w:b/>
          <w:sz w:val="26"/>
          <w:szCs w:val="26"/>
        </w:rPr>
      </w:r>
    </w:p>
    <w:p>
      <w:pPr>
        <w:jc w:val="both"/>
        <w:spacing w:after="120"/>
        <w:rPr>
          <w:rFonts w:ascii="Times New Roman" w:hAnsi="Times New Roman"/>
          <w:sz w:val="26"/>
          <w:szCs w:val="26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/>
          <w:sz w:val="26"/>
          <w:szCs w:val="26"/>
        </w:rPr>
        <w:t xml:space="preserve">Утверждение Требований к размещению и обустройству сезонных залов (зон) обслуживания посетителей прилегающих и (или) примыкающих к объектам общественного питани</w:t>
      </w:r>
      <w:r>
        <w:rPr>
          <w:rFonts w:ascii="Times New Roman" w:hAnsi="Times New Roman"/>
          <w:sz w:val="26"/>
          <w:szCs w:val="26"/>
        </w:rPr>
        <w:t xml:space="preserve">я и Порядка выдачи заключения, подтверждающего соответствие сезонных залов (зон) обслуживания посетителей требованиям к размещению и обустройству сезонных залов (зон) обслуживания посетителей прилегающих и (или) примыкающих к объектам общественного питания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numPr>
          <w:ilvl w:val="0"/>
          <w:numId w:val="1"/>
        </w:numPr>
        <w:ind w:left="0" w:firstLine="284"/>
        <w:jc w:val="both"/>
        <w:spacing w:after="0"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Круг лиц, на которых будет распространено действие проекта нормативного правового акта: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jc w:val="both"/>
        <w:spacing w:after="120"/>
        <w:rPr>
          <w:rFonts w:ascii="Times New Roman" w:hAnsi="Times New Roman"/>
          <w:sz w:val="26"/>
          <w:szCs w:val="26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/>
          <w:sz w:val="26"/>
          <w:szCs w:val="26"/>
        </w:rPr>
        <w:t xml:space="preserve">Индивидуальные предприниматели, юридические лица, </w:t>
      </w:r>
      <w:r>
        <w:rPr>
          <w:rFonts w:ascii="Times New Roman" w:hAnsi="Times New Roman"/>
          <w:sz w:val="26"/>
          <w:szCs w:val="26"/>
        </w:rPr>
        <w:t xml:space="preserve">крестьянские (фермерские) хозяйства, осуществляющие деятельность по </w:t>
      </w:r>
      <w:r>
        <w:rPr>
          <w:rFonts w:ascii="Times New Roman" w:hAnsi="Times New Roman"/>
          <w:sz w:val="26"/>
          <w:szCs w:val="26"/>
        </w:rPr>
        <w:t xml:space="preserve">розничной продаже алкогольной продукции</w:t>
      </w:r>
      <w:r>
        <w:rPr>
          <w:rFonts w:ascii="Times New Roman" w:hAnsi="Times New Roman"/>
          <w:sz w:val="26"/>
          <w:szCs w:val="26"/>
        </w:rPr>
        <w:t xml:space="preserve"> при оказании услуг общественного питания в </w:t>
      </w:r>
      <w:r>
        <w:rPr>
          <w:rFonts w:ascii="Times New Roman" w:hAnsi="Times New Roman"/>
          <w:sz w:val="26"/>
          <w:szCs w:val="26"/>
        </w:rPr>
        <w:t xml:space="preserve">сезонных залах (зонах) обслуживания посетителей</w:t>
      </w:r>
      <w:r>
        <w:rPr>
          <w:rFonts w:ascii="Times New Roman" w:hAnsi="Times New Roman"/>
          <w:sz w:val="26"/>
          <w:szCs w:val="26"/>
        </w:rPr>
        <w:t xml:space="preserve"> на территории Республики Татарстан   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numPr>
          <w:ilvl w:val="0"/>
          <w:numId w:val="1"/>
        </w:numPr>
        <w:ind w:left="0" w:firstLine="284"/>
        <w:jc w:val="both"/>
        <w:spacing w:after="0" w:line="36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Необходимость установления переходного периода:</w:t>
      </w:r>
      <w:r>
        <w:rPr>
          <w:rFonts w:ascii="Times New Roman" w:hAnsi="Times New Roman"/>
          <w:b/>
          <w:sz w:val="26"/>
          <w:szCs w:val="26"/>
        </w:rPr>
      </w:r>
      <w:r>
        <w:rPr>
          <w:rFonts w:ascii="Times New Roman" w:hAnsi="Times New Roman"/>
          <w:b/>
          <w:sz w:val="26"/>
          <w:szCs w:val="26"/>
        </w:rPr>
      </w:r>
    </w:p>
    <w:p>
      <w:pPr>
        <w:jc w:val="center"/>
        <w:spacing w:after="120"/>
        <w:rPr>
          <w:rFonts w:ascii="Times New Roman" w:hAnsi="Times New Roman"/>
          <w:sz w:val="26"/>
          <w:szCs w:val="26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/>
          <w:sz w:val="26"/>
          <w:szCs w:val="26"/>
        </w:rPr>
        <w:t xml:space="preserve">нет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numPr>
          <w:ilvl w:val="0"/>
          <w:numId w:val="1"/>
        </w:numPr>
        <w:ind w:left="0" w:firstLine="284"/>
        <w:jc w:val="both"/>
        <w:spacing w:after="0" w:line="36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Краткое изложение цели регулирования:</w:t>
      </w:r>
      <w:r>
        <w:rPr>
          <w:rFonts w:ascii="Times New Roman" w:hAnsi="Times New Roman"/>
          <w:b/>
          <w:sz w:val="26"/>
          <w:szCs w:val="26"/>
        </w:rPr>
      </w:r>
      <w:r>
        <w:rPr>
          <w:rFonts w:ascii="Times New Roman" w:hAnsi="Times New Roman"/>
          <w:b/>
          <w:sz w:val="26"/>
          <w:szCs w:val="26"/>
        </w:rPr>
      </w:r>
    </w:p>
    <w:p>
      <w:pPr>
        <w:jc w:val="both"/>
        <w:spacing w:after="120"/>
        <w:rPr>
          <w:rFonts w:ascii="Times New Roman" w:hAnsi="Times New Roman"/>
          <w:sz w:val="26"/>
          <w:szCs w:val="26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  <w:t xml:space="preserve">Требований к размещению и обустройству сезонных залов (зон) обслуживания посетителей прилегающих и (или) примыкающих к объектам общественного питани</w:t>
      </w:r>
      <w:r>
        <w:rPr>
          <w:rFonts w:ascii="Times New Roman" w:hAnsi="Times New Roman"/>
          <w:sz w:val="26"/>
          <w:szCs w:val="26"/>
        </w:rPr>
        <w:t xml:space="preserve">я и Порядка выдачи заключения, подтверждающего соответствие сезонных залов (зон) обслуживания посетителей требованиям к размещению и обустройству сезонных залов (зон) обслуживания посетителей прилегающих и (или) примыкающих к объектам общественного питания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numPr>
          <w:ilvl w:val="0"/>
          <w:numId w:val="1"/>
        </w:numPr>
        <w:ind w:left="0" w:firstLine="284"/>
        <w:jc w:val="both"/>
        <w:spacing w:after="0" w:line="36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Общая характеристика соответствующих общественных отношений:</w:t>
      </w:r>
      <w:r>
        <w:rPr>
          <w:rFonts w:ascii="Times New Roman" w:hAnsi="Times New Roman"/>
          <w:b/>
          <w:sz w:val="26"/>
          <w:szCs w:val="26"/>
        </w:rPr>
      </w:r>
      <w:r>
        <w:rPr>
          <w:rFonts w:ascii="Times New Roman" w:hAnsi="Times New Roman"/>
          <w:b/>
          <w:sz w:val="26"/>
          <w:szCs w:val="26"/>
        </w:rPr>
      </w:r>
    </w:p>
    <w:p>
      <w:pPr>
        <w:jc w:val="center"/>
        <w:spacing w:after="120"/>
        <w:rPr>
          <w:rFonts w:ascii="Times New Roman" w:hAnsi="Times New Roman"/>
          <w:sz w:val="26"/>
          <w:szCs w:val="26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/>
          <w:sz w:val="26"/>
          <w:szCs w:val="26"/>
        </w:rPr>
        <w:t xml:space="preserve">Госалкогольинспекция</w:t>
      </w:r>
      <w:r>
        <w:rPr>
          <w:rFonts w:ascii="Times New Roman" w:hAnsi="Times New Roman"/>
          <w:sz w:val="26"/>
          <w:szCs w:val="26"/>
        </w:rPr>
        <w:t xml:space="preserve"> Республики Татарстан</w:t>
      </w:r>
      <w:r>
        <w:rPr>
          <w:rFonts w:ascii="Times New Roman" w:hAnsi="Times New Roman"/>
          <w:sz w:val="26"/>
          <w:szCs w:val="26"/>
        </w:rPr>
        <w:t xml:space="preserve">, в рамках своих полномочий, осуществляет государственный контроль за деятельностью индивидуальных предпринимателей и юридических лиц, осуществляющих розничную продажу алкогольной продукции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numPr>
          <w:ilvl w:val="0"/>
          <w:numId w:val="1"/>
        </w:numPr>
        <w:ind w:left="0" w:firstLine="284"/>
        <w:jc w:val="both"/>
        <w:spacing w:after="0" w:line="36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Срок, в течение которого разработчиком принимаются предложения:                       </w:t>
      </w:r>
      <w:r>
        <w:rPr>
          <w:rFonts w:ascii="Times New Roman" w:hAnsi="Times New Roman"/>
          <w:sz w:val="26"/>
          <w:szCs w:val="26"/>
        </w:rPr>
        <w:t xml:space="preserve">с </w:t>
      </w:r>
      <w:r>
        <w:rPr>
          <w:rFonts w:ascii="Times New Roman" w:hAnsi="Times New Roman"/>
          <w:sz w:val="26"/>
          <w:szCs w:val="26"/>
        </w:rPr>
        <w:t xml:space="preserve">29.11.2024 </w:t>
      </w:r>
      <w:r>
        <w:rPr>
          <w:rFonts w:ascii="Times New Roman" w:hAnsi="Times New Roman"/>
          <w:sz w:val="26"/>
          <w:szCs w:val="26"/>
        </w:rPr>
        <w:t xml:space="preserve">по </w:t>
      </w:r>
      <w:r>
        <w:rPr>
          <w:rFonts w:ascii="Times New Roman" w:hAnsi="Times New Roman"/>
          <w:sz w:val="26"/>
          <w:szCs w:val="26"/>
        </w:rPr>
        <w:t xml:space="preserve">14.12.2024</w:t>
      </w:r>
      <w:r>
        <w:rPr>
          <w:rFonts w:ascii="Times New Roman" w:hAnsi="Times New Roman"/>
          <w:sz w:val="26"/>
          <w:szCs w:val="26"/>
        </w:rPr>
        <w:t xml:space="preserve">.</w:t>
      </w:r>
      <w:r>
        <w:rPr>
          <w:rFonts w:ascii="Times New Roman" w:hAnsi="Times New Roman"/>
          <w:b/>
          <w:sz w:val="26"/>
          <w:szCs w:val="26"/>
        </w:rPr>
      </w:r>
      <w:r>
        <w:rPr>
          <w:rFonts w:ascii="Times New Roman" w:hAnsi="Times New Roman"/>
          <w:b/>
          <w:sz w:val="26"/>
          <w:szCs w:val="26"/>
        </w:rPr>
      </w:r>
    </w:p>
    <w:p>
      <w:pPr>
        <w:numPr>
          <w:ilvl w:val="0"/>
          <w:numId w:val="1"/>
        </w:numPr>
        <w:ind w:left="0" w:firstLine="284"/>
        <w:jc w:val="both"/>
        <w:spacing w:after="0" w:line="36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Контактные данные для направления предложений:</w:t>
      </w:r>
      <w:r>
        <w:rPr>
          <w:rFonts w:ascii="Times New Roman" w:hAnsi="Times New Roman"/>
          <w:b/>
          <w:sz w:val="26"/>
          <w:szCs w:val="26"/>
        </w:rPr>
      </w:r>
      <w:r>
        <w:rPr>
          <w:rFonts w:ascii="Times New Roman" w:hAnsi="Times New Roman"/>
          <w:b/>
          <w:sz w:val="26"/>
          <w:szCs w:val="26"/>
        </w:rPr>
      </w:r>
    </w:p>
    <w:p>
      <w:pPr>
        <w:jc w:val="both"/>
        <w:spacing w:after="120"/>
        <w:rPr>
          <w:rFonts w:ascii="Times New Roman" w:hAnsi="Times New Roman"/>
          <w:sz w:val="26"/>
          <w:szCs w:val="26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/>
          <w:sz w:val="26"/>
          <w:szCs w:val="26"/>
        </w:rPr>
        <w:t xml:space="preserve">Матурова Виктория Олеговна</w:t>
      </w:r>
      <w:r>
        <w:rPr>
          <w:rFonts w:ascii="Times New Roman" w:hAnsi="Times New Roman"/>
          <w:sz w:val="26"/>
          <w:szCs w:val="26"/>
        </w:rPr>
        <w:t xml:space="preserve">, 8(843) 2</w:t>
      </w:r>
      <w:r>
        <w:rPr>
          <w:rFonts w:ascii="Times New Roman" w:hAnsi="Times New Roman"/>
          <w:sz w:val="26"/>
          <w:szCs w:val="26"/>
        </w:rPr>
        <w:t xml:space="preserve">78</w:t>
      </w:r>
      <w:r>
        <w:rPr>
          <w:rFonts w:ascii="Times New Roman" w:hAnsi="Times New Roman"/>
          <w:sz w:val="26"/>
          <w:szCs w:val="26"/>
        </w:rPr>
        <w:t xml:space="preserve">9</w:t>
      </w:r>
      <w:r>
        <w:rPr>
          <w:rFonts w:ascii="Times New Roman" w:hAnsi="Times New Roman"/>
          <w:sz w:val="26"/>
          <w:szCs w:val="26"/>
        </w:rPr>
        <w:t xml:space="preserve">1</w:t>
      </w:r>
      <w:r>
        <w:rPr>
          <w:rFonts w:ascii="Times New Roman" w:hAnsi="Times New Roman"/>
          <w:sz w:val="26"/>
          <w:szCs w:val="26"/>
        </w:rPr>
        <w:t xml:space="preserve">96</w:t>
      </w:r>
      <w:r>
        <w:rPr>
          <w:rFonts w:ascii="Times New Roman" w:hAnsi="Times New Roman"/>
          <w:sz w:val="26"/>
          <w:szCs w:val="26"/>
        </w:rPr>
        <w:t xml:space="preserve">,</w:t>
      </w:r>
      <w:r>
        <w:t xml:space="preserve"> </w:t>
      </w:r>
      <w:hyperlink r:id="rId9" w:tooltip="mailto:Ilyas.Zamaletdinov@tatar.ru" w:history="1">
        <w:r>
          <w:rPr>
            <w:rStyle w:val="836"/>
          </w:rPr>
          <w:t xml:space="preserve">Viktoriya.Maturova@</w:t>
        </w:r>
        <w:r>
          <w:rPr>
            <w:rStyle w:val="836"/>
            <w:lang w:val="en-US"/>
          </w:rPr>
          <w:t xml:space="preserve">tatar</w:t>
        </w:r>
        <w:r>
          <w:rPr>
            <w:rStyle w:val="836"/>
          </w:rPr>
          <w:t xml:space="preserve">.</w:t>
        </w:r>
        <w:r>
          <w:rPr>
            <w:rStyle w:val="836"/>
            <w:lang w:val="en-US"/>
          </w:rPr>
          <w:t xml:space="preserve">ru</w:t>
        </w:r>
      </w:hyperlink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Государственная инспекция Республики Татарстан по обеспечению государственного контроля за производством, оборотом и качеством этилового спирта, алкогольной продукции и защите прав потребителей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420</w:t>
      </w:r>
      <w:r>
        <w:rPr>
          <w:rFonts w:ascii="Times New Roman" w:hAnsi="Times New Roman"/>
          <w:sz w:val="26"/>
          <w:szCs w:val="26"/>
        </w:rPr>
        <w:t xml:space="preserve">107</w:t>
      </w:r>
      <w:r>
        <w:rPr>
          <w:rFonts w:ascii="Times New Roman" w:hAnsi="Times New Roman"/>
          <w:sz w:val="26"/>
          <w:szCs w:val="26"/>
        </w:rPr>
        <w:t xml:space="preserve">, г</w:t>
      </w:r>
      <w:r>
        <w:rPr>
          <w:rFonts w:ascii="Times New Roman" w:hAnsi="Times New Roman"/>
          <w:sz w:val="26"/>
          <w:szCs w:val="26"/>
        </w:rPr>
        <w:t xml:space="preserve">.Казань, ул.</w:t>
      </w:r>
      <w:r>
        <w:rPr>
          <w:rFonts w:ascii="Times New Roman" w:hAnsi="Times New Roman"/>
          <w:sz w:val="26"/>
          <w:szCs w:val="26"/>
        </w:rPr>
        <w:t xml:space="preserve">Х.Такташа</w:t>
      </w:r>
      <w:r>
        <w:rPr>
          <w:rFonts w:ascii="Times New Roman" w:hAnsi="Times New Roman"/>
          <w:sz w:val="26"/>
          <w:szCs w:val="26"/>
        </w:rPr>
        <w:t xml:space="preserve">, д.</w:t>
      </w:r>
      <w:r>
        <w:rPr>
          <w:rFonts w:ascii="Times New Roman" w:hAnsi="Times New Roman"/>
          <w:sz w:val="26"/>
          <w:szCs w:val="26"/>
        </w:rPr>
        <w:t xml:space="preserve">94</w:t>
      </w:r>
      <w:r>
        <w:rPr>
          <w:rFonts w:ascii="Times New Roman" w:hAnsi="Times New Roman"/>
          <w:sz w:val="26"/>
          <w:szCs w:val="26"/>
        </w:rPr>
        <w:t xml:space="preserve">, каб.</w:t>
      </w:r>
      <w:r>
        <w:rPr>
          <w:rFonts w:ascii="Times New Roman" w:hAnsi="Times New Roman"/>
          <w:sz w:val="26"/>
          <w:szCs w:val="26"/>
        </w:rPr>
        <w:t xml:space="preserve"> 410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numPr>
          <w:ilvl w:val="0"/>
          <w:numId w:val="1"/>
        </w:numPr>
        <w:ind w:left="0" w:firstLine="284"/>
        <w:jc w:val="both"/>
        <w:spacing w:after="0"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Иная информация по решению разработчика, относящаяся к сведениям о подготовке проекта нормативного правового акта: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jc w:val="center"/>
        <w:spacing w:after="120"/>
        <w:rPr>
          <w:rFonts w:ascii="Times New Roman" w:hAnsi="Times New Roman"/>
          <w:sz w:val="26"/>
          <w:szCs w:val="26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/>
          <w:sz w:val="26"/>
          <w:szCs w:val="26"/>
        </w:rPr>
        <w:t xml:space="preserve">нет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r/>
      <w:r/>
    </w:p>
    <w:sectPr>
      <w:footnotePr/>
      <w:endnotePr/>
      <w:type w:val="nextPage"/>
      <w:pgSz w:w="11906" w:h="16838" w:orient="portrait"/>
      <w:pgMar w:top="425" w:right="850" w:bottom="822" w:left="1701" w:header="708" w:footer="708" w:gutter="0"/>
      <w:rtlGutter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DL">
    <w:panose1 w:val="02000603000000000000"/>
  </w:font>
  <w:font w:name="PT Astra Serif">
    <w:panose1 w:val="020A0603040505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 w:cs="Times New Roman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sz w:val="22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1"/>
    <w:next w:val="831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basedOn w:val="832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1"/>
    <w:next w:val="831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basedOn w:val="832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31"/>
    <w:next w:val="831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basedOn w:val="832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31"/>
    <w:next w:val="831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basedOn w:val="832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31"/>
    <w:next w:val="831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basedOn w:val="832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1"/>
    <w:next w:val="831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basedOn w:val="832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1"/>
    <w:next w:val="831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basedOn w:val="832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1"/>
    <w:next w:val="831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basedOn w:val="832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1"/>
    <w:next w:val="831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basedOn w:val="832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No Spacing"/>
    <w:uiPriority w:val="1"/>
    <w:qFormat/>
    <w:pPr>
      <w:spacing w:before="0" w:after="0" w:line="240" w:lineRule="auto"/>
    </w:pPr>
  </w:style>
  <w:style w:type="paragraph" w:styleId="675">
    <w:name w:val="Title"/>
    <w:basedOn w:val="831"/>
    <w:next w:val="831"/>
    <w:link w:val="6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6">
    <w:name w:val="Title Char"/>
    <w:basedOn w:val="832"/>
    <w:link w:val="675"/>
    <w:uiPriority w:val="10"/>
    <w:rPr>
      <w:sz w:val="48"/>
      <w:szCs w:val="48"/>
    </w:rPr>
  </w:style>
  <w:style w:type="paragraph" w:styleId="677">
    <w:name w:val="Subtitle"/>
    <w:basedOn w:val="831"/>
    <w:next w:val="831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>
    <w:name w:val="Subtitle Char"/>
    <w:basedOn w:val="832"/>
    <w:link w:val="677"/>
    <w:uiPriority w:val="11"/>
    <w:rPr>
      <w:sz w:val="24"/>
      <w:szCs w:val="24"/>
    </w:rPr>
  </w:style>
  <w:style w:type="paragraph" w:styleId="679">
    <w:name w:val="Quote"/>
    <w:basedOn w:val="831"/>
    <w:next w:val="831"/>
    <w:link w:val="680"/>
    <w:uiPriority w:val="29"/>
    <w:qFormat/>
    <w:pPr>
      <w:ind w:left="720" w:right="720"/>
    </w:pPr>
    <w:rPr>
      <w:i/>
    </w:rPr>
  </w:style>
  <w:style w:type="character" w:styleId="680">
    <w:name w:val="Quote Char"/>
    <w:link w:val="679"/>
    <w:uiPriority w:val="29"/>
    <w:rPr>
      <w:i/>
    </w:rPr>
  </w:style>
  <w:style w:type="paragraph" w:styleId="681">
    <w:name w:val="Intense Quote"/>
    <w:basedOn w:val="831"/>
    <w:next w:val="831"/>
    <w:link w:val="6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>
    <w:name w:val="Intense Quote Char"/>
    <w:link w:val="681"/>
    <w:uiPriority w:val="30"/>
    <w:rPr>
      <w:i/>
    </w:rPr>
  </w:style>
  <w:style w:type="paragraph" w:styleId="683">
    <w:name w:val="Header"/>
    <w:basedOn w:val="831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Header Char"/>
    <w:basedOn w:val="832"/>
    <w:link w:val="683"/>
    <w:uiPriority w:val="99"/>
  </w:style>
  <w:style w:type="paragraph" w:styleId="685">
    <w:name w:val="Footer"/>
    <w:basedOn w:val="831"/>
    <w:link w:val="68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Footer Char"/>
    <w:basedOn w:val="832"/>
    <w:link w:val="685"/>
    <w:uiPriority w:val="99"/>
  </w:style>
  <w:style w:type="paragraph" w:styleId="687">
    <w:name w:val="Caption"/>
    <w:basedOn w:val="831"/>
    <w:next w:val="83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8">
    <w:name w:val="Caption Char"/>
    <w:basedOn w:val="687"/>
    <w:link w:val="685"/>
    <w:uiPriority w:val="99"/>
  </w:style>
  <w:style w:type="table" w:styleId="689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2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2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  <w:pPr>
      <w:spacing w:after="200" w:line="276" w:lineRule="auto"/>
    </w:pPr>
    <w:rPr>
      <w:rFonts w:eastAsia="Times New Roman"/>
      <w:lang w:eastAsia="en-US"/>
    </w:rPr>
  </w:style>
  <w:style w:type="character" w:styleId="832" w:default="1">
    <w:name w:val="Default Paragraph Font"/>
    <w:uiPriority w:val="99"/>
    <w:semiHidden/>
  </w:style>
  <w:style w:type="table" w:styleId="833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paragraph" w:styleId="835">
    <w:name w:val="List Paragraph"/>
    <w:basedOn w:val="831"/>
    <w:uiPriority w:val="99"/>
    <w:qFormat/>
    <w:pPr>
      <w:contextualSpacing/>
      <w:ind w:left="720"/>
    </w:pPr>
  </w:style>
  <w:style w:type="character" w:styleId="836">
    <w:name w:val="Hyperlink"/>
    <w:basedOn w:val="832"/>
    <w:uiPriority w:val="99"/>
    <w:rPr>
      <w:rFonts w:cs="Times New Roman"/>
      <w:color w:val="0000ff"/>
      <w:u w:val="single"/>
    </w:rPr>
  </w:style>
  <w:style w:type="table" w:styleId="837">
    <w:name w:val="Table Grid"/>
    <w:basedOn w:val="833"/>
    <w:uiPriority w:val="99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38">
    <w:name w:val="Block Text"/>
    <w:basedOn w:val="831"/>
    <w:uiPriority w:val="99"/>
    <w:pPr>
      <w:ind w:left="1080" w:right="800"/>
      <w:jc w:val="center"/>
      <w:spacing w:before="600" w:after="0" w:line="216" w:lineRule="auto"/>
    </w:pPr>
    <w:rPr>
      <w:rFonts w:ascii="HelvDL" w:hAnsi="HelvDL" w:eastAsia="Calibri"/>
      <w:b/>
      <w:bCs/>
      <w:sz w:val="28"/>
      <w:szCs w:val="28"/>
      <w:lang w:eastAsia="ru-RU"/>
    </w:rPr>
  </w:style>
  <w:style w:type="paragraph" w:styleId="839">
    <w:name w:val="Body Text 3"/>
    <w:basedOn w:val="831"/>
    <w:link w:val="840"/>
    <w:uiPriority w:val="99"/>
    <w:pPr>
      <w:jc w:val="center"/>
      <w:spacing w:after="0" w:line="360" w:lineRule="auto"/>
    </w:pPr>
    <w:rPr>
      <w:rFonts w:ascii="Times New Roman" w:hAnsi="Times New Roman" w:eastAsia="Calibri"/>
      <w:b/>
      <w:bCs/>
      <w:sz w:val="28"/>
      <w:szCs w:val="24"/>
      <w:lang w:eastAsia="ru-RU"/>
    </w:rPr>
  </w:style>
  <w:style w:type="character" w:styleId="840" w:customStyle="1">
    <w:name w:val="Body Text 3 Char"/>
    <w:basedOn w:val="832"/>
    <w:link w:val="839"/>
    <w:uiPriority w:val="99"/>
    <w:semiHidden/>
    <w:rPr>
      <w:rFonts w:eastAsia="Times New Roman"/>
      <w:sz w:val="16"/>
      <w:szCs w:val="16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mailto:Ilyas.Zamaletdinov@tata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Normal_Wordconv.dotm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valeev</dc:creator>
  <cp:keywords/>
  <dc:description/>
  <cp:revision>4</cp:revision>
  <dcterms:created xsi:type="dcterms:W3CDTF">2014-05-14T10:06:00Z</dcterms:created>
  <dcterms:modified xsi:type="dcterms:W3CDTF">2024-11-29T12:23:08Z</dcterms:modified>
</cp:coreProperties>
</file>