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861"/>
        <w:tblW w:w="15417" w:type="dxa"/>
        <w:jc w:val="left"/>
        <w:tblInd w:w="-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9"/>
        <w:gridCol w:w="1983"/>
        <w:gridCol w:w="9215"/>
      </w:tblGrid>
      <w:tr>
        <w:trPr/>
        <w:tc>
          <w:tcPr>
            <w:tcW w:w="4219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3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215" w:type="dxa"/>
            <w:tcBorders/>
          </w:tcPr>
          <w:p>
            <w:pPr>
              <w:pStyle w:val="NoSpacing"/>
              <w:widowControl w:val="false"/>
              <w:spacing w:lineRule="auto" w:line="276" w:before="0" w:after="0"/>
              <w:ind w:left="5136" w:right="0" w:hanging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/>
            </w:r>
          </w:p>
        </w:tc>
      </w:tr>
    </w:tbl>
    <w:p>
      <w:pPr>
        <w:pStyle w:val="NoSpacing"/>
        <w:spacing w:lineRule="auto" w:line="276"/>
        <w:ind w:left="-567" w:right="-284" w:hanging="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 мероприятий («дорожная карта»)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снижению рисков нарушения антимонопольного законодательства</w:t>
      </w:r>
    </w:p>
    <w:p>
      <w:pPr>
        <w:pStyle w:val="NoSpacing"/>
        <w:ind w:left="-567" w:right="-284" w:hang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 Госалкогольинспекции Республики Татарстан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/>
          <w:bCs/>
          <w:color w:val="auto"/>
        </w:rPr>
        <w:t xml:space="preserve">Антимонопольный комплаенс </w:t>
      </w:r>
      <w:r>
        <w:rPr>
          <w:rFonts w:cs="Times New Roman" w:ascii="Times New Roman" w:hAnsi="Times New Roman"/>
          <w:color w:val="auto"/>
        </w:rPr>
        <w:t>– это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Антимонопольный комплаенс представляет собой элемент </w:t>
      </w:r>
      <w:r>
        <w:rPr>
          <w:rFonts w:cs="Times New Roman" w:ascii="Times New Roman" w:hAnsi="Times New Roman"/>
          <w:b/>
          <w:bCs/>
          <w:sz w:val="24"/>
          <w:szCs w:val="24"/>
        </w:rPr>
        <w:t>системы управления рисками (риск-менеджмент)</w:t>
      </w:r>
      <w:r>
        <w:rPr>
          <w:rFonts w:cs="Times New Roman" w:ascii="Times New Roman" w:hAnsi="Times New Roman"/>
          <w:sz w:val="24"/>
          <w:szCs w:val="24"/>
        </w:rPr>
        <w:t>, разработанный в целях предотвращения наступления рисков нарушения антимонопольного законодательства.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Цели антимонопольного комплаенса: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Обеспечение соответствия деятельности Госалкогольинспекции Республики Татарстан требованиям антимонопольного законодательства;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Профилактика нарушения требований антимонопольного законодательства в деятельности Госалкогольинспекции Республики Татарстан.</w:t>
      </w:r>
      <w:bookmarkStart w:id="0" w:name="_GoBack"/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Задачи антимонопольного комплаенса: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Выявление </w:t>
      </w:r>
      <w:r>
        <w:rPr>
          <w:rFonts w:cs="Times New Roman" w:ascii="Times New Roman" w:hAnsi="Times New Roman"/>
          <w:sz w:val="24"/>
          <w:szCs w:val="24"/>
        </w:rPr>
        <w:t>рисков нарушения антимонопольного законодательства;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 xml:space="preserve">Управление </w:t>
      </w:r>
      <w:r>
        <w:rPr>
          <w:rFonts w:cs="Times New Roman" w:ascii="Times New Roman" w:hAnsi="Times New Roman"/>
          <w:sz w:val="24"/>
          <w:szCs w:val="24"/>
        </w:rPr>
        <w:t>рисками нарушения антимонопольного законодательства;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Контроль </w:t>
      </w:r>
      <w:r>
        <w:rPr>
          <w:rFonts w:cs="Times New Roman" w:ascii="Times New Roman" w:hAnsi="Times New Roman"/>
          <w:sz w:val="24"/>
          <w:szCs w:val="24"/>
        </w:rPr>
        <w:t>за соответствием деятельности Госалкогольинспекции Республики Татарстан требованиям антимонопольного законодательства;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Оценка </w:t>
      </w:r>
      <w:r>
        <w:rPr>
          <w:rFonts w:cs="Times New Roman" w:ascii="Times New Roman" w:hAnsi="Times New Roman"/>
          <w:sz w:val="24"/>
          <w:szCs w:val="24"/>
        </w:rPr>
        <w:t>эффективности функционирования в Госалкогольинспекции Республики Татарстан антимонопольного комплаенса.</w:t>
      </w:r>
    </w:p>
    <w:p>
      <w:pPr>
        <w:pStyle w:val="Defaul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Default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Принципы антимонопольного комплаенса:</w:t>
      </w:r>
    </w:p>
    <w:p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Cs/>
          <w:color w:val="auto"/>
        </w:rPr>
        <w:t xml:space="preserve">Заинтересованность руководства  </w:t>
      </w:r>
      <w:r>
        <w:rPr>
          <w:rFonts w:cs="Times New Roman" w:ascii="Times New Roman" w:hAnsi="Times New Roman"/>
        </w:rPr>
        <w:t>Госалкогольинспекции Республики Татарстан</w:t>
      </w:r>
      <w:r>
        <w:rPr>
          <w:rFonts w:cs="Times New Roman" w:ascii="Times New Roman" w:hAnsi="Times New Roman"/>
          <w:bCs/>
          <w:color w:val="auto"/>
        </w:rPr>
        <w:t xml:space="preserve"> в эффективности функционирования антимонопольного комплаенса;</w:t>
      </w:r>
    </w:p>
    <w:p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Cs/>
          <w:color w:val="auto"/>
        </w:rPr>
        <w:t>Регулярность оценки рисков нарушения антимонопольного законодательства;</w:t>
      </w:r>
    </w:p>
    <w:p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Cs/>
          <w:color w:val="auto"/>
        </w:rPr>
        <w:t xml:space="preserve">Обеспечение информационной открытости функционирования в </w:t>
      </w:r>
      <w:r>
        <w:rPr>
          <w:rFonts w:cs="Times New Roman" w:ascii="Times New Roman" w:hAnsi="Times New Roman"/>
        </w:rPr>
        <w:t xml:space="preserve">Госалкогольинспекции Республики Татарстан </w:t>
      </w:r>
      <w:r>
        <w:rPr>
          <w:rFonts w:cs="Times New Roman" w:ascii="Times New Roman" w:hAnsi="Times New Roman"/>
          <w:bCs/>
          <w:color w:val="auto"/>
        </w:rPr>
        <w:t>антимонопольного комплаенса;</w:t>
      </w:r>
    </w:p>
    <w:p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bCs/>
          <w:color w:val="auto"/>
        </w:rPr>
        <w:t>Непрерывность функционирования антимонопольного комплаенса;</w:t>
      </w:r>
    </w:p>
    <w:p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auto"/>
        </w:rPr>
      </w:pPr>
      <w:r>
        <w:rPr>
          <w:rFonts w:cs="Times New Roman" w:ascii="Times New Roman" w:hAnsi="Times New Roman"/>
          <w:bCs/>
          <w:color w:val="auto"/>
        </w:rPr>
        <w:t>Совершенствование антимонопольного комплаенса.</w:t>
      </w:r>
    </w:p>
    <w:p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Нормативно-правовая база: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Конституция Российской Федерации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 xml:space="preserve">Гражданский кодекс Российской Федерации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Кодекс Российской Федерации об административных правонарушениях.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eastAsia="PT Astra Serif" w:cs="PT Astra Serif" w:ascii="PT Astra Serif" w:hAnsi="PT Astra Serif"/>
          <w:sz w:val="24"/>
          <w:szCs w:val="24"/>
        </w:rPr>
        <w:t>Федеральный закон от 26.07.2006 № 135-ФЗ «О защите конкуренции».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Cs/>
          <w:sz w:val="24"/>
          <w:szCs w:val="24"/>
        </w:rPr>
        <w:t>Указ Президента Российской Федерации от 21.12.2017 № 618 «Об основных направлениях государственной политики по развитию конкуренции».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eastAsia="PT Astra Serif" w:cs="PT Astra Serif" w:ascii="PT Astra Serif" w:hAnsi="PT Astra Serif"/>
          <w:bCs/>
          <w:sz w:val="24"/>
          <w:szCs w:val="24"/>
        </w:rPr>
        <w:t>Распоряжение Правительства РФ от 18 октября 2018г. №2258-р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20" w:right="-31" w:hanging="360"/>
        <w:contextualSpacing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eastAsia="PT Astra Serif" w:cs="PT Astra Serif" w:ascii="PT Astra Serif" w:hAnsi="PT Astra Serif"/>
          <w:bCs/>
          <w:sz w:val="24"/>
          <w:szCs w:val="24"/>
        </w:rPr>
        <w:t xml:space="preserve">Приказ </w:t>
      </w:r>
      <w:r>
        <w:rPr>
          <w:rFonts w:eastAsia="PT Astra Serif" w:cs="PT Astra Serif" w:ascii="PT Astra Serif" w:hAnsi="PT Astra Serif"/>
          <w:sz w:val="24"/>
          <w:szCs w:val="24"/>
        </w:rPr>
        <w:t>Госалкогольинспекции Республики Татарстан</w:t>
      </w:r>
      <w:r>
        <w:rPr>
          <w:rFonts w:eastAsia="PT Astra Serif" w:cs="PT Astra Serif" w:ascii="PT Astra Serif" w:hAnsi="PT Astra Serif"/>
          <w:bCs/>
          <w:sz w:val="24"/>
          <w:szCs w:val="24"/>
        </w:rPr>
        <w:t xml:space="preserve"> от 28.02.2019г. №10-07/42 «</w:t>
      </w:r>
      <w:r>
        <w:rPr>
          <w:rFonts w:eastAsia="PT Astra Serif" w:cs="PT Astra Serif" w:ascii="PT Astra Serif" w:hAnsi="PT Astra Serif"/>
          <w:sz w:val="24"/>
          <w:szCs w:val="24"/>
        </w:rPr>
        <w:t>Об организации системы внутреннего обеспечения соответствия требованиям антимонопольного законодательства в Госалкогольинспекции Республики Татарстан</w:t>
      </w:r>
      <w:r>
        <w:rPr>
          <w:rFonts w:eastAsia="PT Astra Serif" w:cs="PT Astra Serif" w:ascii="PT Astra Serif" w:hAnsi="PT Astra Serif"/>
          <w:bCs/>
          <w:sz w:val="24"/>
          <w:szCs w:val="24"/>
        </w:rPr>
        <w:t>».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20" w:right="-31" w:hanging="360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 w:val="false"/>
          <w:i w:val="false"/>
          <w:caps w:val="false"/>
          <w:smallCaps w:val="false"/>
          <w:color w:val="000000" w:themeColor="text1"/>
          <w:spacing w:val="0"/>
          <w:sz w:val="24"/>
          <w:szCs w:val="24"/>
        </w:rPr>
        <w:t>Распоряжение Правительства РФ от 2 сентября 2021 г. N 2424-р Об утверждении Национального плана ("дорожной карты") развития конкуренции в РФ на 2021 - 2025 гг. (с изменениями и дополнениями)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20" w:right="-31" w:hanging="360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eastAsia="PT Astra Serif" w:cs="PT Astra Serif" w:ascii="PT Astra Serif" w:hAnsi="PT Astra Serif"/>
          <w:b w:val="false"/>
          <w:i w:val="false"/>
          <w:caps w:val="false"/>
          <w:smallCaps w:val="false"/>
          <w:color w:val="000000" w:themeColor="text1"/>
          <w:spacing w:val="0"/>
          <w:sz w:val="24"/>
          <w:szCs w:val="24"/>
        </w:rPr>
        <w:t>Распоряжение Правительства Российской Федерации от 8 октября 2025 г. № 2816-р Об утверждении Национального плана («дорожной к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арты») развития конкуренции в РФ на 2026 - 2030 гг.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240" w:before="0" w:after="0"/>
        <w:ind w:left="720" w:right="-31" w:hanging="360"/>
        <w:contextualSpacing/>
        <w:jc w:val="both"/>
        <w:rPr/>
      </w:pP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Указ Президента Российской Федерации от 7 мая 2024 г. № 309 «О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национальных целях развития 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Российской Федерации на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период до 2030 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года и на перспективу до 2036 года».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Применимые национальные и международные стандарты: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PT Astra Serif" w:hAnsi="PT Astra Serif" w:eastAsia="PT Astra Serif" w:cs="PT Astra Serif"/>
          <w:i w:val="false"/>
          <w:i w:val="false"/>
          <w:iCs w:val="false"/>
          <w:kern w:val="0"/>
          <w:sz w:val="24"/>
          <w:szCs w:val="24"/>
          <w:lang w:val="ru-RU" w:eastAsia="en-US" w:bidi="ar-SA"/>
        </w:rPr>
      </w:pP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Национальный стандарт РФ ГОСТ Р 58771-2019 «Менеджмент риска. Технологии оценки риска»;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/>
      </w:pP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Национальный стандарт РФ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ГОСТ Р 51901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.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23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-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2012 «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Менеджмент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риска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.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Реестр риска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.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Руководство 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по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оценке 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риска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опасных событий 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для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включения </w:t>
      </w: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 xml:space="preserve">в </w:t>
      </w:r>
      <w:r>
        <w:rPr>
          <w:rStyle w:val="Style13"/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реестр риска»;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PT Astra Serif" w:hAnsi="PT Astra Serif" w:eastAsia="PT Astra Serif" w:cs="PT Astra Serif"/>
          <w:i w:val="false"/>
          <w:i w:val="false"/>
          <w:iCs w:val="false"/>
          <w:kern w:val="0"/>
          <w:sz w:val="24"/>
          <w:szCs w:val="24"/>
          <w:lang w:val="ru-RU" w:eastAsia="en-US" w:bidi="ar-SA"/>
        </w:rPr>
      </w:pP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  <w:t>Национальный стандарт РФ ГОСТ Р ИСО 31000-2019 «Менеджмент риска. Принципы и руководство».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PT Astra Serif" w:cs="PT Astra Serif"/>
          <w:i w:val="false"/>
          <w:i w:val="false"/>
          <w:iCs w:val="false"/>
          <w:kern w:val="0"/>
          <w:sz w:val="24"/>
          <w:szCs w:val="24"/>
          <w:lang w:val="ru-RU" w:eastAsia="en-US" w:bidi="ar-SA"/>
        </w:rPr>
      </w:pPr>
      <w:r>
        <w:rPr>
          <w:rFonts w:eastAsia="PT Astra Serif" w:cs="PT Astra Serif" w:ascii="PT Astra Serif" w:hAnsi="PT Astra Serif"/>
          <w:i w:val="false"/>
          <w:iCs w:val="false"/>
          <w:kern w:val="0"/>
          <w:sz w:val="24"/>
          <w:szCs w:val="24"/>
          <w:lang w:val="ru-RU" w:eastAsia="en-US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861"/>
        <w:tblW w:w="154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543"/>
        <w:gridCol w:w="4327"/>
        <w:gridCol w:w="3044"/>
        <w:gridCol w:w="1560"/>
        <w:gridCol w:w="2125"/>
      </w:tblGrid>
      <w:tr>
        <w:trPr/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Проблема (нарушение, риск нарушения)</w:t>
            </w:r>
          </w:p>
        </w:tc>
        <w:tc>
          <w:tcPr>
            <w:tcW w:w="4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</w:t>
            </w:r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Показатель (планируемый результат)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Ответственный</w:t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для проведения оценки соответствия заявителя на соответствие обязательным требованиям в рамках предоставления государственной услуги по лицензированию розничной продажи алкогольной продукции при непосредственном выезде к заявителю (при подаче заявления на выдачу, продление, переоформлении лицензии) на автомобиле заявителя.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Выезд  для проведения оценки соответствия заявителя на соответствие обязательным требованиям в рамках предоставления государственной услуги по лицензированию розничной продажи алкогольной продукции при непосредственном выезде к заявителю (при подаче заявления на выдачу, продление, переоформлении лицензии) только на служебном автотранспорте.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kern w:val="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 выявлении нескольких нарушений, в акте проверки или в протоколе осмотра (протоколе об административном правонарушении) указывается лишь одно (по сговору с представителем хозяйствующего субъекта).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Перед направлением материала по итогам контрольных мероприятий по подведомственности (в суд, руководителю либо заместителю руководителя Госалкогольинспекции Республики Татарстан) начальник отдела, начальник территориального органа анализирует  весь материал, сверяет его с видеозаписью.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 выявлении одного нарушения непосредственно в торговом объекте, не проводится работа по выявлению возможных нарушений без взаимодействия с хозяйствующим субъектом (например, выявлен факт продажи пива без документов или в нестационарном торговом объекте и не проверена фиксация получения пива от оптовых поставщиков в ЕГАИС) по сговору с представителем хозяйствующего субъекта.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Перед направлением материала по итогам контрольных мероприятий по подведомственности (в суд, заместителю руководителя Госалкогольинспекции Республики Татарстан) начальник отдела, начальник территориального органа изучает материал с использованием личного кабинета в ЕГАИС.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Изымается не весь объем нелегального алкоголя, выявленного в ходе мероприятий по контролю, а лишь его часть (по сговору с представителем хозяйствующего субъекта).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Ведение непрерывной видеозаписи осмотра помещений торгового объекта, чтобы можно было сравнить объем продукции, указанной в протоколе изъятия с объемом продукции, находящейся на витрине и др. (по материалам видеозаписи).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Материал по итогам контрольных мероприятий оформляется не в отношении юридического лица, фактически допустившего нарушение, а в отношении индивидуального предпринимателя или физического лица (по сговору с представителем хозяйствующего субъекта), в связи с тем, что штраф в отношении последних значительно ниже.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Перед направлением материала по итогам контрольных мероприятий проверки по подведомственности (в суд, заместителю руководителя Госалкогольинспекции Республики Татарстан) начальник отдела, начальник территориального органа анализирует  весь материал, направляет необходимые запросы, сверяет с лицензионным делом.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 отработке заявок, поступающих в «Народный контроль» о ночной продаже алкогольной продукции, предоставляется информация о том, что ночная продажа не осуществлялась (по сговору с представителем хозяйствующего субъекта).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Перепроверка торговых объектов, но не на следующий день (следующую ночь), а не позднее 2-3 часов после сотрудников, осуществляющих ночной мониторинг.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</w:tc>
      </w:tr>
      <w:tr>
        <w:trPr>
          <w:trHeight w:val="1980" w:hRule="atLeast"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Контрольно-инспекционные мероприятия, мониторинги – результат любого контрольного мероприятия до фиксации его в первичных процессуальных документах и внесения информации в соответствующие журналы и базы Проверок можно переквалифицировать либо изъять вовсе.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Усиление контроля начальником отдела, начальником территориального органа за своевременностью внесения информации о проведенных контрольных мероприятиях в информационные базы в установленном порядке.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Контроль за эффективностью проводимых мероприятий.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Для объективной оценки эффективности деятельности равномерное распределение работы среди специалистов.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 Контроль за своевременным оформлением материалов по итогам контрольных мероприятий, правильностью и полнотой квалификации выявленных нарушений и своевременным направлением на рассмотрение в уполномоченные органы.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 Усиление взаимодействия с другими контролирующими органами.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 Мотивация сотрудников на результаты их деятельности.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 Содействие курирующих отделов (для территориальных органов).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 Регулярно (не реже 1 раза в квартал) проводить с сотрудниками  совещания, в ходе которых рассматривать ошибки и недочеты как при проведении мероприятий, так и при оформлении их результатов на конкретных примерах (без конкретизации объекта проверки и специалиста, осуществляющего производство по данному делу).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Передача по предварительному сговору третьим лицам за незаконное вознаграждение аналитической информации, сформированной из Базы данных Госалкогольинспекции Республики Татарстан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Результаты по итогам контрольных мероприятий вносятся в течение 5 суток в соответствующие Базы данных.</w:t>
            </w:r>
          </w:p>
          <w:p>
            <w:pPr>
              <w:pStyle w:val="NoSpacing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Документы по итогам контрольных мероприятий в установленном порядке вносятся Типовое облачное решение контрольно-надзорной деятельности с последующей интеграцией в Единый реестр контрольно-надзорных мероприятий.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Предупреждение подконтрольного субъекта предстоящем мероприятии по контролю, если мероприятие проводится не в рамках Федерального закона «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О государственном контроле (надзоре) и муниципальном контроле в Российской Федерации».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Сообщать сотруднику информацию о подконтрольном субъекте (адрес, ФИО индивидуального предпринимателя, наименование юридического лица) непосредственно перед выездом на контрольное мероприятие.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Охват контрольными мероприятиями не всех подконтрольных субъектов (по информации поступающей из МРУ РАР по ПФО: о фиксации в ЕГАИС, о декларациях и др.)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Обеспечение контроля со стороны начальника отдела, начальника территориального органа: распределение работы между сотрудниками отдела в равных объемах; контроль сроков; в случае большого объема работы – рассмотрение вопроса о передачи части работы в другие территориальные органы.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11</w:t>
              </w:r>
            </w:hyperlink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Вынесение постановления о прекращении дела об административном правонарушении.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Систематические проверки территориальных органов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left="0" w:right="34" w:hanging="0"/>
              <w:jc w:val="both"/>
              <w:rPr/>
            </w:pP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Искусственное затягивание сроков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составления протоколов об административных право-нарушениях и направ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ления материалов с выявленными нарушениями в области про-дажи безалкогольных тони-зирующих напитков (в том числе энергетических) лицам, не достигшим 18 лет. Согласно части 1 статьи 4.5 КоАП РФ постановление по делу об административном право-нарушении не может быть вынесено по истечении </w:t>
            </w:r>
            <w:r>
              <w:rPr>
                <w:rStyle w:val="Style14"/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60 календарных дней </w:t>
            </w:r>
            <w:r>
              <w:rPr>
                <w:rFonts w:eastAsia="Calibri" w:cs="Times New Roman" w:ascii="Times New Roman" w:hAnsi="Times New Roman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со дня со-вершения административного правонарушения.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Усиление контроля начальником отдела, начальником территориального органа за своевременностью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оформления и направления материалов дела на рассмотрение в установленные законом сроки.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/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Arial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Arial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left="0" w:right="3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Рассмотрение обращений (заявлений, жалоб) граждан на возможные нарушения в сфере оборота алкогольной и спиртосодержащей продукции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 безалкогольных тонизи-рующих напитков.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/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целью исключения формального и необъективного рассмотрения обращений, должностному лицо, непосредственно подготовившему ответ на обращение, в обязательном порядке включать в согласование всех должностных лиц, которым было отписано обращение.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Хабибуллина Т.М.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Calibri" w:hAnsi="Calibri" w:eastAsia="Calibri" w:cs="Arial" w:asciiTheme="minorHAnsi" w:cstheme="minorBidi" w:eastAsiaTheme="minorHAnsi" w:hAnsiTheme="minorHAnsi"/>
                <w:kern w:val="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 w:eastAsiaTheme="minorHAns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Летучев Ю.С.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Прием документов с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недостоверной, искаженной, а также неполной информацией по сговору с лицензиатом либо соискателем лицензии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Выборочная проверка принятых документов начальником отдела лицензирования, начальниками территориальных органов, обеспечение прозрачности процедуры приема документов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Переход на дистанционный прием документов через единый портал государственных и муниципальных услуг и МФЦ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И.о. начальника о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Стогниева Т.В.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Искажение результатов экспертизы документов, по сговору с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лицензиатом либо соискателем лицензии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Выборочная проверка принятых документов начальником отдела лицензирования, начальниками территориальных органов, обеспечение прозрачности процедуры экспертизы документов.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Выборочная проверка принятых документов руководителя и заместителя руководителя Госалкогольинспекции Республики Татарстан.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459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И.о. начальника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Стогниева Т.В.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left="0" w:right="3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Необъективный расчет начальной (максимальной) цены контракта по сговору с заинтересованными лицами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4" w:right="0" w:firstLine="567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Размещение запроса о предоставлении ценовой информации в Региональной информационной системе Республики Татарстан.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4" w:right="0" w:firstLine="567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Ответственные отделы направляют запросы ценовой информации поставщикам (подрядчикам, исполнителям) и представляют в отдел государственных закупок и обеспечения деятельности полученные коммерческие предложения.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4" w:right="0" w:firstLine="567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Начальная (максимальная) цена контракта формируется на основании не менее трех коммерческих предложений. При расчете средней цены, коэффициент вариации не должен превышать 33%.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4" w:right="0" w:firstLine="567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Согласование заявки на закупку с отделом финансового контроля.</w:t>
            </w:r>
          </w:p>
          <w:p>
            <w:pPr>
              <w:pStyle w:val="NoSpacing"/>
              <w:widowControl w:val="false"/>
              <w:numPr>
                <w:ilvl w:val="0"/>
                <w:numId w:val="1"/>
              </w:numPr>
              <w:spacing w:before="0" w:after="0"/>
              <w:ind w:left="34" w:right="-108" w:firstLine="567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Согласование заявки на закупку с ДК МФ РТ.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Ларионова Н.Ю.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left="0" w:right="3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Заключение государственного контракта без обеспечения исполнения контракта (в случае если документацией установлен размер обеспечения)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34" w:right="0" w:firstLine="567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Исполнение контракта может обеспечиваться предоставлением банковской гарантии, выданной банком или внесением денежных средств на указанный заказчиком счет.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4" w:right="0" w:firstLine="567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2 .</w:t>
              <w:tab/>
              <w:t>В случае внесения победителем закупки  обеспечения контракта в форме  банковской гарантии, обязательная проверка на наличие данной банковской гарантии в Реестре банковских гарантий.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4" w:right="0" w:firstLine="567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  <w:tab/>
              <w:t>В случае внесения победителем закупки  обеспечения контракта в денежной форме, проверка в отделе финансового контроля на фактическое поступление денежных средств на расчетный счет (копия платежного поручения).</w:t>
            </w:r>
          </w:p>
          <w:p>
            <w:pPr>
              <w:pStyle w:val="NoSpacing"/>
              <w:widowControl w:val="false"/>
              <w:spacing w:before="0" w:after="0"/>
              <w:ind w:left="34" w:right="0" w:firstLine="567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  <w:tab/>
              <w:t xml:space="preserve"> Внесение сведений в реестр контрактов в Единой информационной системе.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Ларионова Н.Ю.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left="0" w:right="3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ответов на обращения физических и юридических лиц с нарушением срока, предусмотренного законодательством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Усиление контроля за предусмотренными законодательством сроками ответов на обращения физических и юридических лиц</w:t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Ларионова Н.Ю.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left="0" w:right="3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Принятие актов и осуществление действий (бездействие),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Введение ограничений в отношении создания хозяйствующих субъектов, а также установление запретов или введение ограничений в отношении осуществления отдельных видов деятельности.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Установление для потребителей алкогольной продукции ограничений выбора хозяйствующих субъектов, которые предоставляют такой выбор.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Дача хозяйствующим субъектам указаний о приобретении алкогольной продукции у определенного производителя, за исключением случаев, предусмотренных законодательством РФ.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Назначение лица, ответственного за проведение антикоррупционной экспертизы нормативно-правовых актов и проектов нормативно-правовых актов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антикоррупционной экспертизы нормативно-правовых актов и проектов нормативно-правовых актов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Эйдинов Б.Г.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left="0" w:right="34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Нарушение антимонопольного законодательства при подготовке материалов дел об административных правонарушениях для рассмотрения руководителем либо заместителем руководителя Госалкогольинспекции Республики Татарстан.</w:t>
            </w:r>
          </w:p>
        </w:tc>
        <w:tc>
          <w:tcPr>
            <w:tcW w:w="43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Предоставление хозяйствующему субъекту доступа к информации в приоритетном порядке.</w:t>
            </w:r>
          </w:p>
          <w:p>
            <w:pPr>
              <w:pStyle w:val="Normal"/>
              <w:widowControl w:val="false"/>
              <w:spacing w:lineRule="auto" w:line="240" w:before="0" w:after="0"/>
              <w:ind w:left="34" w:righ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Сведение к минимуму рисков нарушений.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36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Повышение уровня контроля со стороны руководителя.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Обучение вновь принятых сотрудников.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Направление сотрудников на курсы повышения квалификации.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1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 отдела Эйдинов Б.Г.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Начальники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территориальных органов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left="-540" w:right="-186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отдела административной и судебной практики _______</w:t>
      </w:r>
      <w:r>
        <w:rPr>
          <w:rFonts w:cs="Times New Roman" w:ascii="Times New Roman" w:hAnsi="Times New Roman"/>
          <w:color w:val="000000"/>
          <w:sz w:val="24"/>
          <w:szCs w:val="24"/>
        </w:rPr>
        <w:t>__</w:t>
      </w:r>
      <w:r>
        <w:rPr>
          <w:rFonts w:cs="Times New Roman" w:ascii="Times New Roman" w:hAnsi="Times New Roman"/>
          <w:sz w:val="24"/>
          <w:szCs w:val="24"/>
        </w:rPr>
        <w:t>_______ /Б.Г. Эйдинов_______________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Начальник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контрольно-инспекционного отдела  ________________________/Т.М.Хабибуллина/__________________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И.о. начальника отдела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лицензирования _____________________/</w:t>
      </w:r>
      <w:r>
        <w:rPr>
          <w:rFonts w:eastAsia="Calibri" w:cs="Times New Roman" w:ascii="Times New Roman" w:hAnsi="Times New Roman"/>
          <w:color w:val="000000"/>
          <w:kern w:val="0"/>
          <w:sz w:val="24"/>
          <w:szCs w:val="24"/>
          <w:lang w:val="ru-RU" w:eastAsia="en-US" w:bidi="ar-SA"/>
        </w:rPr>
        <w:t>Стогниева Т.В.</w:t>
      </w:r>
      <w:r>
        <w:rPr>
          <w:rFonts w:cs="Times New Roman" w:ascii="Times New Roman" w:hAnsi="Times New Roman"/>
          <w:color w:val="000000"/>
          <w:sz w:val="24"/>
          <w:szCs w:val="24"/>
        </w:rPr>
        <w:t>/_______________________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Начальник отдела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государственных закупок и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обеспечения деятельности_______________________________ /Н.Ю. Ларионова/____________________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Начальник отдела оперативного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межмуниципального контроля___________________________ /Ю.С. Летучев/______________________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Заместитель руководителя</w:t>
      </w:r>
    </w:p>
    <w:p>
      <w:pPr>
        <w:pStyle w:val="Normal"/>
        <w:spacing w:lineRule="auto" w:line="240" w:before="0" w:after="0"/>
        <w:ind w:left="-540" w:right="-186" w:hanging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Госалкогольинспекции Республики Татарстан  _____________/Р.А.Арсланов/__________________</w:t>
      </w:r>
    </w:p>
    <w:p>
      <w:pPr>
        <w:pStyle w:val="NoSpacing"/>
        <w:ind w:right="-28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56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Style9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21" w:customStyle="1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Pr/>
  </w:style>
  <w:style w:type="character" w:styleId="Style11" w:customStyle="1">
    <w:name w:val="Нижний колонтитул Знак"/>
    <w:basedOn w:val="DefaultParagraphFont"/>
    <w:uiPriority w:val="99"/>
    <w:semiHidden/>
    <w:qFormat/>
    <w:rPr/>
  </w:style>
  <w:style w:type="character" w:styleId="Style12" w:customStyle="1">
    <w:name w:val="Гиперссылка"/>
    <w:semiHidden/>
    <w:qFormat/>
    <w:rPr>
      <w:color w:val="0000FF"/>
      <w:u w:val="single"/>
    </w:rPr>
  </w:style>
  <w:style w:type="character" w:styleId="Style13">
    <w:name w:val="Emphasis"/>
    <w:qFormat/>
    <w:rPr>
      <w:i/>
      <w:iCs/>
    </w:rPr>
  </w:style>
  <w:style w:type="character" w:styleId="Style14">
    <w:name w:val="Strong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 w:customStyle="1">
    <w:name w:val="Body Text"/>
    <w:semiHidden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left="0" w:right="0" w:hanging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8"/>
      <w:sz w:val="28"/>
      <w:szCs w:val="24"/>
      <w:u w:val="none"/>
      <w:vertAlign w:val="baseline"/>
      <w:lang w:val="ru-RU" w:eastAsia="ru-RU" w:bidi="ar-SA"/>
      <w14:ligatures w14:val="none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1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2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3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4">
    <w:name w:val="Index Heading"/>
    <w:basedOn w:val="Style15"/>
    <w:pPr/>
    <w:rPr/>
  </w:style>
  <w:style w:type="paragraph" w:styleId="Style25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right="-1230"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osalcogol.tatarstan.ru/rus/file/pub/pub_3141858.pdf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E503-0556-4E93-B12A-C3E8144B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Application>LibreOffice/7.5.6.2$Linux_X86_64 LibreOffice_project/50$Build-2</Application>
  <AppVersion>15.0000</AppVersion>
  <Pages>12</Pages>
  <Words>2229</Words>
  <Characters>17608</Characters>
  <CharactersWithSpaces>19522</CharactersWithSpaces>
  <Paragraphs>306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2020-03-05T10:42:00Z</dcterms:created>
  <dc:creator>Прокопьева Юлия Николаевна</dc:creator>
  <dc:description/>
  <dc:language>ru-RU</dc:language>
  <cp:lastModifiedBy/>
  <cp:lastPrinted>2026-06-25T16:42:42Z</cp:lastPrinted>
  <dcterms:modified xsi:type="dcterms:W3CDTF">2026-06-25T16:57:00Z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