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left="-567" w:right="5386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left="-567" w:right="5386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 утвержде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ии Положения о региональном государственном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контроле (надзоре)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области продажи </w:t>
      </w:r>
      <w:bookmarkStart w:id="0" w:name="_GoBack"/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безалкогольных тонизирующих напитков (в том числе энергетических)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510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-567"/>
        <w:jc w:val="both"/>
        <w:spacing w:before="100" w:beforeAutospacing="1" w:after="100" w:afterAutospacing="1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В соответствии с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 статьей 5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Федеральн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закон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от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8 августа 2024 г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Федерации», </w:t>
      </w:r>
      <w:hyperlink r:id="rId8" w:tooltip="https://internet.garant.ru/#/document/74449814/entry/30203" w:anchor="/document/74449814/entry/30203" w:history="1">
        <w:r>
          <w:rPr>
            <w:rFonts w:ascii="PT Astra Serif" w:hAnsi="PT Astra Serif" w:eastAsia="PT Astra Serif" w:cs="PT Astra Serif"/>
            <w:sz w:val="28"/>
            <w:szCs w:val="28"/>
            <w:lang w:eastAsia="ru-RU"/>
          </w:rPr>
          <w:t xml:space="preserve">пунктом 3 части 2 статьи 3</w:t>
        </w:r>
      </w:hyperlink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 Федерального закона от 31 июля 2020 года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 248-ФЗ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 государственном контроле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(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надзоре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) и муниципальном контроле в Российской Федерации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Кабинет Министров Республики Татарстан постановляет: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left="-567" w:right="-1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1. Утвердить прилагаемое </w:t>
      </w:r>
      <w:hyperlink r:id="rId9" w:tooltip="https://internet.garant.ru/#/document/402875183/entry/100" w:anchor="/document/402875183/entry/100" w:history="1">
        <w:r>
          <w:rPr>
            <w:rFonts w:ascii="PT Astra Serif" w:hAnsi="PT Astra Serif" w:eastAsia="PT Astra Serif" w:cs="PT Astra Serif"/>
            <w:sz w:val="28"/>
            <w:szCs w:val="28"/>
          </w:rPr>
          <w:t xml:space="preserve">Положение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 о региональном государственном контроле (надзоре) в области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продажи безалкогольных тонизирующих напитков (в том числе энергетических)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2. Настоящее постановление вступает в силу со дня его </w:t>
      </w:r>
      <w:hyperlink r:id="rId10" w:tooltip="https://internet.garant.ru/#/document/411669916/entry/0" w:anchor="/document/411669916/entry/0" w:history="1">
        <w:r>
          <w:rPr>
            <w:rStyle w:val="839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официального опубликования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/>
        <w:jc w:val="both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3. </w:t>
      </w:r>
      <w:r>
        <w:rPr>
          <w:rStyle w:val="837"/>
          <w:rFonts w:ascii="PT Astra Serif" w:hAnsi="PT Astra Serif" w:eastAsia="PT Astra Serif" w:cs="PT Astra Serif"/>
          <w:i w:val="0"/>
          <w:iCs w:val="0"/>
          <w:sz w:val="28"/>
          <w:szCs w:val="28"/>
        </w:rPr>
        <w:t xml:space="preserve">Контроль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за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исполнением настоящего постановления возложить на Государственн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ую инспекцию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Республики Татарстан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 обеспечению государственного контроля за производством, оборотом и качеством этилового спирта, алкогольной продукции и защите прав </w:t>
      </w:r>
      <w:r>
        <w:rPr>
          <w:rFonts w:ascii="PT Astra Serif" w:hAnsi="PT Astra Serif" w:eastAsia="PT Astra Serif" w:cs="PT Astra Serif"/>
          <w:color w:val="22272f"/>
          <w:sz w:val="28"/>
          <w:szCs w:val="28"/>
        </w:rPr>
        <w:t xml:space="preserve">потребителей.</w:t>
      </w: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eastAsia="PT Astra Serif" w:cs="PT Astra Serif"/>
          <w:color w:val="22272f"/>
          <w:sz w:val="28"/>
          <w:szCs w:val="28"/>
        </w:rPr>
        <w:t xml:space="preserve">Премьер-министр</w:t>
      </w: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22272f"/>
          <w:sz w:val="28"/>
          <w:szCs w:val="28"/>
        </w:rPr>
        <w:t xml:space="preserve">Республики Татарстан                                                                               </w:t>
      </w:r>
      <w:r>
        <w:rPr>
          <w:rFonts w:ascii="PT Astra Serif" w:hAnsi="PT Astra Serif" w:eastAsia="PT Astra Serif" w:cs="PT Astra Serif"/>
          <w:color w:val="22272f"/>
          <w:sz w:val="28"/>
          <w:szCs w:val="28"/>
        </w:rPr>
        <w:t xml:space="preserve">А.В. Песошин</w:t>
      </w: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  <w:highlight w:val="none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</w:rPr>
      </w:r>
    </w:p>
    <w:p>
      <w:pPr>
        <w:pStyle w:val="843"/>
        <w:ind w:left="-567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Положение</w:t>
        <w:br/>
        <w:t xml:space="preserve">о региональном государственном контроле (надзоре)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области продажи безалкогольных тонизирующих напитков (в том числе энергетических)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_688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I. Общие положения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left="-567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1.1. Настоящее Положение устанавливает порядок организации и осуществления регионального государственного контроля (надзора) в области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продажи безалкогольных тонизирующих напитков (в том числе энергетических)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- региональный государственный контроль (надзор)).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1.2. Предметом регионального государст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венного контроля (надзора) являе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 запретов и ограничений, установленных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\l "sub_2"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статьями 2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-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Федерального закона от 8 августа 2024 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304-ФЗ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запрете продажи безалкогольных тонизирующих напитков (в том числе энергетических) несовершеннолетним и о внесении изменения в статью 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 Федерального закона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 общих принципах организации публичной власти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субъектах Российской Федерации»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запрет продажи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безалкогольных тонизирующих напитков (в том числе энергетических) несовершеннолетним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запрет продажи безалкогольных тонизирующих напитков (в том числе энергетических), если в отношении покупателя имеются сомнения в достижении им совершеннолетия и документ, позволяющий установить его возраст, не представлен;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в) запрет продажи безалкогольных тонизирую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г) соблюдение ограничения времени и мест продажи безалкогольных тонизирующих напитков (в том числе энергетических)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д) соблюдение ограничения продажи безалкогольных тонизирующих напитков (в том числе энергетических) в местах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массового скопления граждан в период проведения публичных мероприятий, организуемых в соответствии с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"https://internet.garant.ru/document/redirect/12135831/200"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Федеральным законом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19 июня 2004 года № 54-ФЗ "О собраниях, митингах, демонстрациях, шествиях и пикетированиях", и на прилегающих к таким местам территориях, границы которых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устанавливаются органами государственной власти Республики Татарстан при согласовании проведения указанных мероприятий, а также на время проведения физкультурных мероприятий и спортивных мероприятий, спортивных соревнований, организуемых в соответствии с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"https://internet.garant.ru/document/redirect/12157560/20"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Федеральным законом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4 декабря 2007 года № 329-ФЗ «О физической культуре и спорте в Российской Федерации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1.3. Региональный государственный контроль (надзор) осуществляется 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сударственной инспекцией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- Госалкогольинспекция Республики Татарстан, контрольный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(надзорный)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орган) на территории Республики Татарстан.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Реализация полно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мочий Госалкогольинспекции Республики Татарстан, предусмотренных настоящим Положением, осуществляется в пределах установленной штатной численности и фонда оплаты труда работников аппарата и территориальных органов Госалкогольинспекции Республики Татарстан.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1.4. Перечень должностных лиц аппарата Госалкогольинспекции Республики Татарстан и ее территориальных органов, уполномоченных на осуществление регионального государственного контроля (надзора) (далее - должностные лица), указан в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\l "sub_1000"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приложении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к настоящему Положению.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На принятие решений о проведении контрольных (надзорных) мероприятий уполномочен руководитель (заместитель руководителя) Госалкогольинспекции Республики Татарстан.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1.5. Должностные лица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установленными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"https://internet.garant.ru/document/redirect/74449814/2902"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частью 2 статьи 29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Федерального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закона 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248-ФЗ "О государственном контроле (надзоре) и муниципальном контроле в Российской Федерации" (далее - Федеральный закон 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248-ФЗ), а также следующими правами: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посещать и проводить обследования используемых контролируемыми лицами и (или) для подконтрольной деятельности помещений, зданий, сооружений, зем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ельных участков, иных объектов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готовой продукции;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выдавать контролируемым лицам предписания об устранении выявленных нарушений обязательных требований, указанных в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\l "sub_1012"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пункте 1.2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тоящего Положения;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в) составлять протоколы об административных правонарушениях, рассматривать дела об административных правонарушениях;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г) запрашивать и получать на основании мотивированного письменного запроса от контролируемого лица информацию и документы.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1.6. Под контролируемыми лицами в целях реализация настоящего Положения понимаются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индивидуальны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предприниматели, крестьянски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(фермерски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хозяйства без образования юридического лица,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Российской Федерации, иностранны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 лица без гражданства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деятельность, действия которых либо производственные объекты, находящиеся во владении и (или) в пользовании которых подлежат государственному контролю (надзору).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1.7. Объектами регионального государственного контроля (надзора) (далее - объект контроля) являются: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деятельность, действия (бездействие)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индивидуальны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предпринимател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крестьянски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(фермерски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хозяйств без образования юридического лица, граждан Российской Федерации, иностранны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граждан и лиц без гражданства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области продажи безалкогольных тонизирующих напитков (в том числе энергетических),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рамках которых должны соблюдаться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запреты и ограничения,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предъявляемые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осуществл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ению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деятельност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здания, помещения, сооружения, территории, оборудование, устройства, предметы, транспортные средства и другие объекты, которыми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индивидуальны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предприниматели, крестьянски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(фермерски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хозяйства без образования юридического лица,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Российской Федерации, иностранны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 лица без гражданства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владеют и (или) пользуются в рамках осуществления деятельности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области продажи безалкогольных тонизирующих напитков (в том числе энергетических)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1.8. Учет объектов контроля осуществляется Госалкогольинспекцией Республики Татарстан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посредством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Един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государственн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реестр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юридических лиц;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Един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государственн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реестр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индивидуальных предпринимателей;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базы данных Госалкогольинспекции Республики Татарстан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Проверки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г)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сбора, обработки, анализа и учета информации об объектах регионального государственного контроля (надзора), представляемой контрольному (надзорному) органу федеральными органами власти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органами исполнительной власти субъектов Российской Федерации, республиканскими органами исполнительной власти, информации, получаемой в рамках межведомственного взаимодействия, а также общедоступной информации, в том числе размещенной в сети «Интернет».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_688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II. Управление рисками причинения вреда (ущерба) охраняемым законом ценностям при осуществлении регионального государственного контроля (надзора)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2.1. При осуществлении регионального государственного контроля (надзора) применяе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тся риск-ориентированный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подход,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определяющий выбор профилактических и контрольных (надзорных) мероприятий, их содержание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и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интенсивность.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2.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При осуществлении регионального государственного контроля (надзора) плановые контрольные (надзо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рные) мероприятия не проводятся,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отнесение объектов контроля </w:t>
        <w:br/>
        <w:t xml:space="preserve">к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категориям риска не осуществляется, критерии риска не устанавливаются.</w:t>
      </w:r>
      <w:r>
        <w:rPr>
          <w:rFonts w:ascii="PT Astra Serif" w:hAnsi="PT Astra Serif" w:eastAsia="PT Astra Serif" w:cs="PT Astra Serif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2.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ндикатор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риска нарушения обязательных требований в области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продажи безалкогольных тонизирующих напитков (в том числе энергетических)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наличие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сведений о нахождении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территории зданий, строений, сооружений, помещений, используемых для реализации безалкогольных тонизирующих напитков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(в том числе энергетических)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организаций, осуществляющих детскую, образовательную, медицинскую деятельность;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 наличие сведений 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продаж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безалкогольных тонизирующих напитков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(в том числе энергетических)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физкультурно-оздоровительных и спортивных сооружениях, в открытых общественных местах при проведении массовых молодежных культурно-зрелищных и спортивных мероприятий;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наличие в государственной информационной системе мониторинга оборота товаров в течение календарного месяца сведений о реализации в объекте розничной торговли безалкогольных тонизирующих напитков, ранее выведенных из оборота;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наличие в государственной информационной системе мониторинга оборота товаров сведений об объекте розничной торговли, осуществляющем оборот безалкогольных тонизирующих напитков с истекшим сроком годности;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отсутствие сведений в государственной информационной системе мониторинга оборота товаров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регистрации субъекта контроля;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е) отсутствие в государственной информационной системе монит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оринга оборота товаров зафиксированной информации об объемах продажи безалкогольных напитков, подлежащих маркировке, на протяжении более 30 календарных дней при наличии информации о продаже безалкогольных тонизирующих напитков (в том числе энергетических).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Указанные сведения выявляются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посредством проведения наблюдения за соблюдением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запретов и ограничений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_688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III. Профилактика рисков причинения вреда (ущерба) охраняемым законом ценностям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3.1. Программа профилактики рисков причинения вреда (ущерба) охраняемым законом ценностям (далее - программа профилактики рисков) в порядке, установленном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instrText xml:space="preserve">HYPERLINK "https://internet.garant.ru/document/redirect/401399931/0"</w:instrTex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постановлением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Правительства Российской Федерации от 25 июня 2021 года № 990 «Об утверждении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равил разработки и утверждения контрольными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ценностям», ежегодно утверждается Госалкогольинспекцией Республики Татарстан до 20 декабря года, предшествующего году проведения профилактических мероприятий.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Программа профилактики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состо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из разделов, предусмотренных частью 2 статьи 44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Федерального закона от 31 июля 2020 года № 248-ФЗ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Утвержденная программа профилактики размещается на официальном сайте контрольного (надзорного) органа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информационно-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телекоммуникационной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сети «Интернет».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3.2. При осуществлении регионального государственного контроля (надзора) проводятся следующие профилактические мероприятия: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 информирование;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 обобщение правоприменительной практики;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в) объявление предостережения;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г) консультирование;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д) профилактический визит.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3.3. Информирование по вопросам соблюдения обязательных требований осуществляется в порядке, установленном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instrText xml:space="preserve">HYPERLINK "https://internet.garant.ru/document/redirect/74449814/46"</w:instrTex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статьей 46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Федерального закона от 31 июля 2020 года № 248-ФЗ.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3.4.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Доклад, содержащий результаты обобщения правоприменительной практики, должен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готовится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 позднее 1 марта года, следующего </w:t>
        <w:br/>
        <w:t xml:space="preserve">за отчетным годом, утвержд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ается приказом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руководителя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Госалкогольинспекции Республики Татарстан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до 12 марта и размещ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ается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официальном сайте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Госалкогольинспекции Республики Татарстан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информационно-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телекоммуникационной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сети «Интернет» не позднее 3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3.5.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случае объявления контрольным (надзорным) органом контролируемому лицу предостережения о недопустимости нарушения обязательных требований (далее - предостережение) в соответствии со статьей 49 Федерального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248-ФЗ контролируемое лицо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вправе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течение 10 дней со дня получения предостережения подать в отношении этого предостережения возражение.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Возражени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 направляе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(надзорного) органа либо </w:t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с использованием единого портала государ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ственных (муниципальных) услуг 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и (или) регионального портала государственных и муниципальных услуг, либо иными указанными в предостережении способами.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Возражение в отношении предостережения должно содержать: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фамилию, имя и отче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ство (при наличии), сведения о месте жительства контролируемого лица – физического лица либо наименование, сведения </w:t>
        <w:br/>
        <w:t xml:space="preserve">о месте нахождения контролируемого лица – юридического лица, а также номер (номера) контактного телефона, адрес (адреса) электронной почты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(при наличии) и почтовый адрес, по которым должен быть направлен ответ;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 сведения о предостережении и должностном лице, направившем такое предостережение;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в) доводы, на основании которых контролируемое лицо не согласен </w:t>
        <w:br/>
        <w:t xml:space="preserve">с предостережением (с приложением подтверждающих указанные доводы сведений и (или) документов).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3.7.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пункта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3.6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настоящего Положения, возражение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отношении предостережения в течение 3 рабочих дней со дня поступления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контрольный (надзорный) орган возвращается контролируемому лицу без рассмотрения с указанием причин невозможности рассмотрения </w:t>
        <w:br/>
        <w:t xml:space="preserve">и разъяснением порядка надлежащего обращения.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Возражени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отношении предостережения рассматрива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тся должностными лицами контрольного (надзорного) органа в течение 15 рабочих дней со дня поступления такого возражения в контрольный (надзорный) орган.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По результатам рассмотрения контрольным (надзорным) органом возражения в отношении предостережения принимается одно из следующих решений: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об оставлении предостережения без изменения;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 об отмене предостережения.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3.10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Информация о принятом решении, предусмотренном пунктом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3.9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настоящего Положения, в течение одного рабочего дня со дня его принятия направляется контролируемому лицу, представившему возражение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отношении предостережения.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3.11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Должностное лицо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Госалкогольинспекции Республики Татарстан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проводит консультирование контролируемых лиц в письменной форме при их письменном обращении  либо в устной форме по телефону, посредством видео-конференц-связи или на личном приеме у должностного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лица в ходе осуществления контрольного (надзорного) мероприятия или публичного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(муниципальных) услуг.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Консульт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ирование по однотипным обращениям контролируемых лиц и их представителей (при поступлении трех или более обращений, содержащих однородные вопросы) может осуществляться посредством размещения на официальном сайте Госалкогольинспекции Республики Татарстан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информационно-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телекоммуникационной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сети "Интернет" письменного разъяснения, подписанного руководителем (заместителем руководителя) Госалкогольинспекции Республики Татарстан.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3.12. Консультирование осуществляется по следующим вопросам: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применение обязательных требований,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соблюдение которых является предметом регионального госу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дарственного контроля (надзора),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содержание и последствия их изменения;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необходимые организационных и (или) технические мероприятиях, которые должны реализовать контролируемые лица для соблюдения обязательных требований;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в) особенности осуществления регионального государственного контроля (надзора).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3.13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Профилактический визит проводится в форме профилактической беседы должностным лицом контрольного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надзорного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органа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 месту осуществления деятельности контролируемого лица либо путем использования видео-конференц-связи </w:t>
        <w:br/>
        <w:t xml:space="preserve">или мобильного приложения «Инспектор».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3.14.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регионального госу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дарственного контроля (надзора),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 должностное лицо контрольного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надзорного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органа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осуществляет ознакомление с объектом контроля и проводит оценку уровня соблюдения контролируемым лицом обязательных требований.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3.15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Профилактически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визит по инициативе контролируемого лица провод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тся в соответствии со статьей 52.2. Федерального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3.16.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52.1 Федерального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_688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IV. Осуществление регионального государственного контроля (надзора)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4.1. В решении о проведении контрольного (надзорного) мероприятия указываются сведения, установленные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"https://internet.garant.ru/document/redirect/74449814/640101"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пунктами 1-14 части 1 статьи 64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Федерального закона 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4.2. При проведении контрольных (надзорных) мероприятий должностными лицами для фиксации доказательств нарушений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обязательных требований могут использоваться фотосъемка, аудио- и видеозапись, а также иные способы фиксации доказательств.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4.3. Фотографии, аудио- и видеозаписи, используемые для фиксации доказательств, должны позво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4.4. Индивидуальный предпринимат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ель, являющийся контролируемым лицом, вправе представить в Госалкогольинспекцию Республики Татарстан (территориальный орган) документально подтвержденную информацию о невозможности присутствия при проведении контрольного (надзорного) мероприятия в случаях: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заболевания, связанного с утратой трудоспособности;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препятствия, возникшего в результате действия непреодолимой силы;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иных уважительных причин.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 результатам рассмотрения указанной информации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проведение контрольного (надзорного) мероприятия переносится Госалкогольинспекцией Республики Татарстан (территориальным органом) на срок, необходимый для устранения обстоятельств, послуживших поводом для данного обращения индивидуального предпринимателя.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4.5. Региональный государственный контроль (надзор) осуществляется посредством проведения следующих контрольных (надзорных) мероприятий: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контрольная закупка;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мониторинговая закупка;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инспекционный визит;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документарная проверка;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д) выездная проверка;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наблюдение за соблюдением обязательных требований;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ж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выездное обследование.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4.6. Указанные в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\l "sub_1045"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пункте 4.5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настоящего Положения внеплановые контрольные (надзорные) мероприятия проводятся должностными лицами в порядке, предусмотренном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"https://internet.garant.ru/document/redirect/74449814/0"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Федеральным законом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4.7. </w:t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В обязательном порядке с использованием видеозаписи проводятся контрольные (надзорные) мероприятия,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перечисленные в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\l "sub_10451"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подпунктах "а" - "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в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"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\l "sub_10456"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"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д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"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\l "sub_10458"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"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ж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"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 пункта 4.5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тоящего Положения, в том числе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осмотр в отсутствие контролируемого лица или его представителя.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Фотосъемка и (или) видеозапись должны включать в себя: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вид на указатель адреса нахождения объекта контроля (при наличии);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вид на входную группу объекта контроля, включая его укрупненные элементы;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в) помещения, торговое оборудование, оборудование для оказания услуг общественного питания, используемые для хранения (реализации) алкогольной и спиртосодержащей продукции;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г) факты и события, указывающие на нарушение обязательных требований;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д) предметы административного правонарушения;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е) действия (бездействие) контролируемого лица либо его представителя, имеющие отношение к соблюдению обязательных требований и проведению контрольного (надзорного)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мероприятия.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4.8.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 контрольной закупкой понимается контрольное (надзорное) мероприятие, в ходе которого уполномоченным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должностным лицом Госалкогольинспекции Республики Татарстан совершаются действия по созданию ситуации для осуществления сделки в целях оценки соблюдения обязательных требований при продаже безалкогольных тонизирующих напитков (в том числе энергетических).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4.8.1. Контрольная закупка проводится без предварительного уведомления контролируемого лица.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4.8.2. Срок проведения контрольной закупки определяется периодом времени, в течение которого обычно осуществляется сделка, в целях оценки соблюдения обязательных требований при продаже продукции (товаров), оказании услуг потребителям.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4.8.3. Срок непосредственного личного взаимодействия должностного лица Госалкогольинспекции Республики Татарстан и контролируемого лица в рамках проведения контрольной закупки не может превышать один рабочий день.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4.8.4.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контрольной закупки осуществляются следующие контрольные (надзорные) действия: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осмотр;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эксперимент.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4.9. 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 мониторинговой закупкой понимается контрольное (надзорное) мероприятие, в ходе которого уполномоченным должностным лицом Госалкогольинспекции Республики Татарстан совершаю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тся действия по созданию ситуации для осуществления сделки в целях последующего направления безалкогольных тонизирующих напитков (в том числе энергетических) на экспертизу на предмет ее соответствия обязательным требованиям к безопасности и (или) качеству.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4.9.1. Мониторинговая закупка проводится без предварительного уведомления контролируемого лица.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4.9.2. Срок проведения мониторинговой закупки определяется периодом времени, в течение которого обычно осуществляется сделка и проводится экспертиза, но не более 30 рабочих дней.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4.9.3. Срок непосредственного личного взаимодействия должностного лица Госалкогольинспекции Республики Татарстан и контролируемого лица в рамках про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ведения мониторинговой закупки не может превышать один рабочий день.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4.9.4.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мониторинговой закупки могут осуществляться следующие контрольные (надзорные) действия: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осмотр;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опрос;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в) эксперимент;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г) инструментальное обследование;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д) истребование документов;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е) испытание;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ж) экспертиза.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9.5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После объявления о проведении мониторинговой закупки должностное лицо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Госалкогольинспекции Республики Татарстан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9.6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 Проведение экспертизы при осуществлении мониторинговой закупки осуществляется по поручению контрольного органа в порядке, предусмотренном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"https://internet.garant.ru/document/redirect/74449814/84"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статьей 84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Федерального закона 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объекта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4.10.1.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4.10.2.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осмотр;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опрос;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в) получение письменных объяснений;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г) инструментальное обследование;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д) ист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4.10.3. Инспекционный визит проводится без предварительного уведомления контролируемого лица.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0.4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Срок проведения инспекционного визита в одном месте осуществления деятельности не может превышать один рабочий день.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 документарной проверкой понимается контрольное (надзорное) мероприятие, предметом которого являются сведения, содержащиеся в документах, имеющихся в распоряжении контрольного (надзорного) органа.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 необходимости, если достоверность сведений, содержащихся в документах, вызывает обоснованные сомнения либо эти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сведения не позволяют оценить исполнение контролируемым лицом обязательных требований, должностное лицо Госалкогольинспекции Республики Татарстан, осуществляющее документарную проверку, вправе истребовать у контролируемого лица иные необходимые документы.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4.11.1. Срок проведения документарной проверки не может превышать десять рабочи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 дней. На период с момента направления должностным лицом Госалкогольинспекции Республики Татарстан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ании документов в Госалкогольинспекцию Республики Татарстан (территориальный орган), а также период с момента направления контролируемому лицу информации Госалкогольинспекции Республики Татарстан о выявлении ошибок и (или) противоречий в представленных кон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тролируемым лицом документах либо о несоответствии сведений, содержащихся в этих документах, сведениям, содержащимся в имеющихся у Госалкогольинспекции Республики Татарстан документах и (или) полученным при осуществлении государственного контроля (надзора)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и требования представить необходимые письменные объяснения до момента представления указанных письменных объяснений в Госалкогольинспекцию Республики Татарстан (территориальный орган) исчисление срока проведения документарной проверки приостанавливается.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4.11.2.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Документарная проверка проводится по месту нахождения Госалкогольинспекции Республики Татарстан (территориального органа).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1.3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 В ходе проведения документарной проверки могут осуществляться следующие контрольные (надзорные) действия: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получение письменных объяснений;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истребование документов;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в) экспертиза.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4.12.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торговыми объектами,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которых осуществляется продажа безалкогольных тонизирующих напитков (в том числе энергетических),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4.12.1.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предусмотренном 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 HYPERLINK "http://base.garant.ru/74449814/b5dae26bebf2908c0e8dd3b8a66868fe/" \l "block_21" 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статьей 21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 Федерал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ьного закона от 31 июля 2020 года № 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4.12.2. Срок проведения выездной проверки не может превышать десять рабочих дней.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4.12.3.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4.12.4. В ходе проведения выездной проверки могут осуществляться следующие контрольные (надзорные) действия: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осмотр;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досмотр;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опрос;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получение письменных объяснений;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истребование документов;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отбор проб (образцов);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экспертиза;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эксперимент.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Срок проведения контрольного (надзорного) мероприятия может быть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приостановлен уполномоч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енным должностным лицом на основании мотивированного представления должностного лица в случае, если срок осуществления экспертиз или испытаний превышает срок проведения контрольного (надзорного) мероприятия, до получения результатов осуществления экспертиз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или испытаний.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 Наблюдение за соблюдением обязательных тр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ебований проводится на постоянной основе без взаимодействия с контролируемыми лицами путем мониторинга и анализа информации, содержащейся в информационных системах Госалкогольинспекции Республики Татарстан, в том числе данных, которые поступают в ходе межв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 и иных общедоступных данных.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15.1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а) осмотр;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б) отбор проб (образцов);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в) инструментальное обследование;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г) испытание;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д) экспертиза.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15.2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15.3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 В случае если в ра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мках выездного обследования выявлены признаки нарушений обязательных требований, должностное лицо вправе незамедлительно провести контрольную закупку. В данном случае не требуется принятие решения о проведении данного контрольного (надзорного) мероприятия.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_688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V. Результаты контрольного (надзорного) мероприятия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.1. Результаты контрольного (надзорного) мероприятия оформляются в порядке,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предусмотренном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HYPERLINK "https://internet.garant.ru/document/redirect/74449814/1600"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главой 16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 Федерального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закона 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5.2. По окончании проведения контрольного (надзорного) мероприятия должностным лицом (лицами) Госалкогольинспекции Республики Татарстан, его проводившим (проводившими), составляется акт контрольного (надзорного) мероприятия (далее - акт) о проведении: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контрольной закупки;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мониторинговой закупки;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инспекционного визита;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документарной проверки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выездной проверки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 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 HYPERLINK "http://base.garant.ru/74449814/6f1c6ca78c7f356c4f502d5a4aeec0e5/" \l "block_8802" 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частью 2 статьи 88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 Федерального закона от 31 июля 2020 года  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случае проведения контрольных (надзорных) мероприятий с использованием мобильного приложения "Инспектор" либо составления акта ко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 HYPERLINK "http://base.garant.ru/74449814/d4d1c020f5ac1ff694cd399cf1a90fc2/" \l "block_650106" 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</w:rPr>
        <w:t xml:space="preserve">пунктами 6-9 части 1 статьи 65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 Федерального закона от 31 июля 2020 года  № 248-ФЗ, или в иных случаях, установленных Федеральным законом от 31 июля 2020 года  № 248-ФЗ акт направляется контролируемому лицу в течение трех рабочих дней.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Контролируемое лицо или его представитель подписывает акт тем же способом, которым изготовлен данн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должностным лицом Госалкогольинспекции Республики Татарстан в акте делается соответствующая отметка.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5.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законодательством, обязан: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выдать после оформления акта конт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ролируемому лицу предписание об устранении выявленных нарушений обязательных требований с указанием разумных сроков их устранения, если выявленные нарушения обязательных требований не устранены до окончания проведения контрольного (надзорного) мероприятия;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незамедлительно принять предусмотренные законодательством меры по недопущению причинения вреда (ущерба) охраняемым законом ценностям или прекращению его причинения;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 выявлении в ходе контрольного (надзорного) мероприятия призн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аков преступления или административного правонарушения направить соответствующую информацию в компетентный государственный орган и в рамках своей компетенции принять меры по привлечению виновных лиц к установленной законом административной ответственности;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Предписание об устранении выявленных нарушений выдается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контролируемому лицу в соответствии со статьей 90.1 Федерального закона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31 июля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_688"/>
        <w:ind w:left="-567"/>
        <w:jc w:val="both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VI. Досудебный порядок подачи жалобы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.1. Действия (бездействие) должностных лиц контрольного (надзорного) органа, решения, принятые контрольным (н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адзорным) органом в ходе осуществления регионального государственного контроля (надзора), могут быть обжалованы контролируемым лицом в досудебном (внесудебном) порядке в соответствии с положениями главы 9 Федерального закона  от 31 июля 2020 года 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При р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ассмотрении жалобы используется подсистема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.2. Жалоба на решение территориального органа Госалкогольинспекции Республики Татарстан, действия (бездействие) его должностных лиц рассматривается руководителем (заместителем руководителя) данного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Жалоба на действия (бездействие) руководителя (заместителя руководителя) территориального органа Госалкогольинспекции Республики Татарстан рассматривается руководителем контрольного (надзорного)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Жалоба на решения контрольного органа, принятые его аппаратом, действия (бездействие) должностных лиц аппарата контрольного органа рассматривается руководителем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контрольного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3. Жалоба на решения, действия (бездействие) руководителя (заместителя руководителя) контрольного (надзорного) органа рассматривается руководителем 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онтрольного (надзорного) органа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или коллегиальным органом для рассмотрения жалоб, созданным в Госалкогольинспекции Республики Татарстан из числа ее должностных лиц.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.4. Жалоба подлежит рассмотрению в течение пятнадцати рабочих дней со дня ее регистрации в подсистеме досудебного обжалования.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.5. Решение контрольного (надзорного) органа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не позднее одного рабочего дня со дня его принятия.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Рассмотрение жалобы, связанной со сведениями и докум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 w:firstLine="709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.7. По итогам рассмотрения жалобы принимается одно из следующих решений: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 w:firstLine="709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оставление жалобы без удовлетворения;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 w:firstLine="709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отмена решения контрольного (надзорного) органа полностью или частично;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 w:firstLine="709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отмена решения контрольного (надзорного) органа полностью и принятие нового решения;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 w:firstLine="709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4) признание действия (бездействие) должностных лиц контрольного (надзорного) органа незаконными и вынесение решения по существу, в том числе об осуществлении при необходимости определенных действий.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_688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VII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Ключевые показатели и их целевые значения, индикативные показатели для регионального государственного контроля (надзора)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Ключевым показателем эффективности и результативности осуществления реги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онального государственного контроля (надзора) является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уровень соблюдения обязательных требований в области продажи безалкогольных тонизирующих напитков (в том числе энергетических).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Целевое значение ключевого показателя - 99%.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Расчет ключевого показателя производится по формуле: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br/>
      </w:r>
      <m:oMath>
        <m:r>
          <w:rPr>
            <w:rFonts w:hint="default" w:ascii="Cambria Math" w:hAnsi="Cambria Math" w:eastAsia="Cambria Math" w:cs="Cambria Math"/>
            <w:i/>
            <w:sz w:val="28"/>
            <w:szCs w:val="28"/>
          </w:rPr>
          <m:rPr/>
          <m:t>Уо</m:t>
        </m:r>
        <m:r>
          <w:rPr>
            <w:rFonts w:hint="default" w:ascii="Cambria Math" w:hAnsi="Cambria Math" w:eastAsia="Cambria Math" w:cs="Cambria Math"/>
            <w:sz w:val="28"/>
            <w:szCs w:val="28"/>
          </w:rPr>
          <m:rPr>
            <m:sty m:val="p"/>
          </m:rPr>
          <m:t>=100%-</m:t>
        </m:r>
        <m:f>
          <m:fPr>
            <m:ctrlPr>
              <w:rPr>
                <w:rFonts w:ascii="Cambria Math" w:hAnsi="Cambria Math" w:eastAsia="Cambria Math" w:cs="Cambria Math"/>
                <w:sz w:val="28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КлПН+КлПЭ</m:t>
            </m:r>
          </m:num>
          <m:den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КлОТ</m:t>
            </m:r>
          </m:den>
        </m:f>
        <m:r>
          <w:rPr>
            <w:rFonts w:hint="default" w:ascii="Cambria Math" w:hAnsi="Cambria Math" w:eastAsia="Cambria Math" w:cs="Cambria Math"/>
            <w:i/>
            <w:sz w:val="28"/>
            <w:szCs w:val="28"/>
          </w:rPr>
          <m:rPr/>
          <m:t>х100</m:t>
        </m:r>
      </m:oMath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  <w:br/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где Уо - уровень соблюдения обязательных требований в области продажи безалкогольных тонизирующих напитков (в том числе энергетических) (%);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КлПН - количество продаж безалкогольных тонизирующих напитков (в том числе энергетических) несовершеннолетним;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КлПЭ - количество продаж безалкогольных тонизирую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КлОТ - количество объектов торговли.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Источники данных: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сведения, содержащиеся в государственной информационной системе мониторинга за оборотом товаров, подлежащих обязательной маркировке средствами идентификации;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сведения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Госалкогольинспекции Республики Татарстан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нарушениях в сфере продажи безалкогольных тонизирующих напитков (в том числе энергетических).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.2. Индикативными показателями эффективности и результативности осуществления регионального государственного контроля (надзора) являются: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количество внеплановых контрольных (надзорных) мероприятий, проведенных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количество внеплановых контрольных (над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общее количество контрольных (надзорных) мероприятий с взаимодействием, проведенных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предостережений о недопустимости нарушения обязательных требований, объявленных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контрольных (надзорных) мероприятий, по результатам которых выявлены нарушения обязательных требований,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сумма административных штрафов, наложенных по результатам контрольных (надзорных) мероприятий,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общее количество учтенных объектов контроля на конец отчетного периода;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учтенных контролируемых лиц на конец отчетного периода;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учтенных контролируемых лиц, в отношении которых проведены контрольные (надзорные) мероприятия,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общее количество жалоб, поданных контролируемыми лицами в досудебном порядке,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жалоб, в отношении которых контрольным (надзорным) органом был нарушен срок рассмотрения,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жалоб, поданных контролируемыми лицами в досудебно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судебном порядке,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 (или) отменены, за отчетный период.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.3. Анализ ключевого показателя осуществляется в докладе об осуществлении регионального государственного контроля (надзора) и об эффективности такого контроля (надзора), подготавливаемом по итогам календарного года.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left="-567" w:firstLine="0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Style w:val="1_690"/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Приложение </w:t>
        <w:br/>
        <w:t xml:space="preserve">к </w:t>
      </w:r>
      <w:r>
        <w:rPr>
          <w:rStyle w:val="1_690"/>
          <w:rFonts w:ascii="PT Astra Serif" w:hAnsi="PT Astra Serif" w:eastAsia="PT Astra Serif" w:cs="PT Astra Serif"/>
          <w:b w:val="0"/>
          <w:color w:val="000000"/>
          <w:sz w:val="28"/>
          <w:szCs w:val="28"/>
        </w:rPr>
        <w:fldChar w:fldCharType="begin"/>
      </w:r>
      <w:r>
        <w:rPr>
          <w:rStyle w:val="1_690"/>
          <w:rFonts w:ascii="PT Astra Serif" w:hAnsi="PT Astra Serif" w:eastAsia="PT Astra Serif" w:cs="PT Astra Serif"/>
          <w:b w:val="0"/>
          <w:color w:val="000000"/>
          <w:sz w:val="28"/>
          <w:szCs w:val="28"/>
        </w:rPr>
        <w:instrText xml:space="preserve">HYPERLINK \l "sub_1014"</w:instrText>
      </w:r>
      <w:r>
        <w:rPr>
          <w:rStyle w:val="1_690"/>
          <w:rFonts w:ascii="PT Astra Serif" w:hAnsi="PT Astra Serif" w:eastAsia="PT Astra Serif" w:cs="PT Astra Serif"/>
          <w:b w:val="0"/>
          <w:color w:val="000000"/>
          <w:sz w:val="28"/>
          <w:szCs w:val="28"/>
        </w:rPr>
        <w:fldChar w:fldCharType="separate"/>
      </w:r>
      <w:r>
        <w:rPr>
          <w:rStyle w:val="1_689"/>
          <w:rFonts w:ascii="PT Astra Serif" w:hAnsi="PT Astra Serif" w:eastAsia="PT Astra Serif" w:cs="PT Astra Serif"/>
          <w:color w:val="000000"/>
          <w:sz w:val="28"/>
          <w:szCs w:val="28"/>
        </w:rPr>
        <w:t xml:space="preserve">Положению</w:t>
      </w:r>
      <w:r>
        <w:rPr>
          <w:rStyle w:val="1_690"/>
          <w:rFonts w:ascii="PT Astra Serif" w:hAnsi="PT Astra Serif" w:eastAsia="PT Astra Serif" w:cs="PT Astra Serif"/>
          <w:b w:val="0"/>
          <w:color w:val="000000"/>
          <w:sz w:val="28"/>
          <w:szCs w:val="28"/>
        </w:rPr>
        <w:fldChar w:fldCharType="end"/>
      </w:r>
      <w:r>
        <w:rPr>
          <w:rStyle w:val="1_690"/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 о региональном</w:t>
        <w:br/>
        <w:t xml:space="preserve">государственном контроле (надзоре)</w:t>
        <w:br/>
        <w:t xml:space="preserve">в области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продажи безалкогольных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43"/>
        <w:ind w:left="-567" w:firstLine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тонизирующих напитков (в том числе энергетических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left="-567"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Перечень</w:t>
        <w:br/>
        <w:t xml:space="preserve">должностных лиц Государственной инспекци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уполномоченных осуществлять региональный государственный контроль (надзор) в области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продажи безалкогольных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1_688"/>
        <w:jc w:val="both"/>
        <w:spacing w:before="0" w:after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 тонизирующих напитков (в том числе энергетических</w:t>
      </w:r>
      <w:r>
        <w:rPr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Руководитель.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 Заместитель руководителя.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 Начальник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 Начальник контрольно-инспекционного отдела.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Начальник отдела оперативного межмуниципального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Заместитель начальника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Начальник контрольно-инспекционного отдела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Начальник отдела развития и координации внутреннего рынка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Ведущий советник контрольно-инспекционного отдела.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Ведущий консультант контрольно-инспекционного отдела.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Ведущий специалист отдела оперативного межмуниципального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12. Старший специалист 1 разряда отдела оперативного межмуниципального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13. Специалист 1 разряда отдела оперативного межмуниципального контроля.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Консультант контрольно-инспекционного отдела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Консультант отдела развития и координации внутреннего рынка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Ведущий специалист-эксперт контрольно-инспекционного отдела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Ведущий специалист-эксперт отдела развития и координации внутреннего рынка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Специалист-эксперт контрольно-инспекционного отдела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Старший специалист II разряда контрольно-инспекционного отдела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Старший специалист II разряда отдела развития и координации внутреннего рынка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Специалист I разряда отдела развития и координации внутреннего рынка территориального органа.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cs="PT Astra Serif"/>
          <w:color w:val="22272f"/>
          <w:sz w:val="28"/>
          <w:szCs w:val="28"/>
        </w:rPr>
      </w:r>
      <w:r>
        <w:rPr>
          <w:rFonts w:ascii="PT Astra Serif" w:hAnsi="PT Astra Serif" w:cs="PT Astra Serif"/>
          <w:color w:val="22272f"/>
          <w:sz w:val="28"/>
          <w:szCs w:val="28"/>
        </w:rPr>
      </w:r>
    </w:p>
    <w:p>
      <w:pPr>
        <w:pStyle w:val="838"/>
        <w:ind w:left="-567"/>
        <w:jc w:val="both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color w:val="22272f"/>
          <w:sz w:val="28"/>
          <w:szCs w:val="28"/>
        </w:rPr>
      </w:pPr>
      <w:r>
        <w:rPr>
          <w:rFonts w:ascii="PT Astra Serif" w:hAnsi="PT Astra Serif" w:cs="PT Astra Serif"/>
          <w:color w:val="22272f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22272f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 CYR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832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4"/>
    <w:basedOn w:val="830"/>
    <w:link w:val="83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4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36" w:customStyle="1">
    <w:name w:val="s_3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Emphasis"/>
    <w:basedOn w:val="832"/>
    <w:uiPriority w:val="20"/>
    <w:qFormat/>
    <w:rPr>
      <w:i/>
      <w:iCs/>
    </w:rPr>
  </w:style>
  <w:style w:type="paragraph" w:styleId="838" w:customStyle="1">
    <w:name w:val="s_1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>
    <w:name w:val="Hyperlink"/>
    <w:basedOn w:val="832"/>
    <w:uiPriority w:val="99"/>
    <w:semiHidden/>
    <w:unhideWhenUsed/>
    <w:rPr>
      <w:color w:val="0000ff"/>
      <w:u w:val="single"/>
    </w:rPr>
  </w:style>
  <w:style w:type="paragraph" w:styleId="840" w:customStyle="1">
    <w:name w:val="s_16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 w:customStyle="1">
    <w:name w:val="ConsPlusNormal Знак"/>
    <w:link w:val="842"/>
    <w:rPr>
      <w:sz w:val="24"/>
    </w:rPr>
  </w:style>
  <w:style w:type="paragraph" w:styleId="842" w:customStyle="1">
    <w:name w:val="ConsPlusNormal"/>
    <w:link w:val="841"/>
    <w:pPr>
      <w:spacing w:after="0" w:line="240" w:lineRule="auto"/>
      <w:widowControl w:val="off"/>
    </w:pPr>
    <w:rPr>
      <w:sz w:val="24"/>
    </w:rPr>
  </w:style>
  <w:style w:type="paragraph" w:styleId="843" w:customStyle="1">
    <w:name w:val="Заголовок статьи"/>
    <w:basedOn w:val="830"/>
    <w:next w:val="830"/>
    <w:uiPriority w:val="99"/>
    <w:pPr>
      <w:ind w:left="1612" w:hanging="892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1_688" w:customStyle="1">
    <w:name w:val="Заголовок 1"/>
    <w:basedOn w:val="832"/>
    <w:next w:val="832"/>
    <w:link w:val="837"/>
    <w:uiPriority w:val="99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108" w:beforeAutospacing="0" w:after="108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Times New Roman" w:cs="Times New Roman CYR"/>
      <w:b/>
      <w:bCs/>
      <w:i w:val="0"/>
      <w:iCs w:val="0"/>
      <w:caps w:val="0"/>
      <w:smallCaps w:val="0"/>
      <w:strike w:val="0"/>
      <w:vanish w:val="0"/>
      <w:color w:val="26282f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89" w:customStyle="1">
    <w:name w:val="Гипертекстовая ссылка"/>
    <w:next w:val="838"/>
    <w:link w:val="832"/>
    <w:uiPriority w:val="99"/>
    <w:rPr>
      <w:color w:val="106bbe"/>
    </w:rPr>
  </w:style>
  <w:style w:type="character" w:styleId="1_690" w:customStyle="1">
    <w:name w:val="Цветовое выделение"/>
    <w:next w:val="843"/>
    <w:link w:val="832"/>
    <w:uiPriority w:val="99"/>
    <w:rPr>
      <w:b/>
      <w:bCs/>
      <w:color w:val="26282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Татьяна Михайловна</dc:creator>
  <cp:revision>6</cp:revision>
  <dcterms:created xsi:type="dcterms:W3CDTF">2025-04-14T09:51:00Z</dcterms:created>
  <dcterms:modified xsi:type="dcterms:W3CDTF">2025-05-27T10:47:08Z</dcterms:modified>
</cp:coreProperties>
</file>